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Maner Tarkan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NUTANIX,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1740 TECHNOLOGY DR.,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Nutanix, Inc.</w:t>
              </w:r>
            </w:hyperlink>
            <w:r>
              <w:rPr/>
              <w:t xml:space="preserve"> [ </w:t>
            </w:r>
            <w:r>
              <w:rPr>
                <w:rFonts w:ascii="Times;serif" w:hAnsi="Times;serif"/>
                <w:color w:val="0000FF"/>
                <w:sz w:val="24"/>
                <w:shd w:fill="FFFFFF" w:val="clear"/>
              </w:rPr>
              <w:t>NTNX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139,852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142,499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144,200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146,102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42,677</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67.99</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103,425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4,792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tax withholding obligations arising from the vesting of Reporting Person's Restricted Stock Units, or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16 equal quarterly installments, with the first of such quarterly installments having vested on December 15, 2022, subject to the Reporting Person continuing to provide service to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16 equal quarterly installments, with the first of such quarterly installments having vested on December 15, 2023, subject to the Reporting Person continuing to provide service to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16 equal quarterly installments, with the first of such quarterly installments having vested on December 15, 2024, subject to the Reporting Person continuing to provide service to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in 16 equal quarterly installments, with the first of such quarterly installments having vested on December 15, 2025, subject to the Reporting Person continuing to provide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Hum,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184" TargetMode="External"/><Relationship Id="rId5" Type="http://schemas.openxmlformats.org/officeDocument/2006/relationships/hyperlink" Target="http://www.sec.gov/cgi-bin/browse-edgar?action=getcompany&amp;CIK=00016187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876</Words>
  <Characters>4581</Characters>
  <CharactersWithSpaces>5304</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