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2626.htm"/>
      <w:bookmarkStart w:id="1" w:name="ksf8k_0826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26, 2026</w:t>
      </w:r>
    </w:p>
    <w:p>
      <w:pPr>
        <w:pStyle w:val="TextBody"/>
        <w:bidi w:val="0"/>
        <w:jc w:val="center"/>
        <w:rPr/>
      </w:pPr>
      <w:r>
        <w:rPr/>
        <w:t>_______________________________</w:t>
      </w:r>
    </w:p>
    <w:p>
      <w:pPr>
        <w:pStyle w:val="TextBody"/>
        <w:bidi w:val="0"/>
        <w:spacing w:before="120" w:after="283"/>
        <w:jc w:val="center"/>
        <w:rPr>
          <w:b/>
          <w:sz w:val="24"/>
        </w:rPr>
      </w:pPr>
      <w:r>
        <w:rPr>
          <w:b/>
          <w:sz w:val="24"/>
        </w:rPr>
        <w:t>NUTANIX,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001-37883</w:t>
            </w:r>
          </w:p>
        </w:tc>
        <w:tc>
          <w:tcPr>
            <w:tcW w:w="2900" w:type="dxa"/>
            <w:tcBorders/>
            <w:vAlign w:val="center"/>
          </w:tcPr>
          <w:p>
            <w:pPr>
              <w:pStyle w:val="TableContents"/>
              <w:bidi w:val="0"/>
              <w:spacing w:before="0" w:after="283"/>
              <w:jc w:val="center"/>
              <w:rPr>
                <w:b/>
                <w:sz w:val="20"/>
              </w:rPr>
            </w:pPr>
            <w:r>
              <w:rPr>
                <w:b/>
                <w:sz w:val="20"/>
              </w:rPr>
              <w:t>27-0989767</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1740 Technology Drive, Suite 150</w:t>
      </w:r>
    </w:p>
    <w:p>
      <w:pPr>
        <w:pStyle w:val="TextBody"/>
        <w:bidi w:val="0"/>
        <w:spacing w:before="0" w:after="0"/>
        <w:jc w:val="center"/>
        <w:rPr>
          <w:b/>
          <w:sz w:val="20"/>
        </w:rPr>
      </w:pPr>
      <w:r>
        <w:rPr>
          <w:b/>
          <w:sz w:val="20"/>
        </w:rPr>
        <w:t>San Jose, California 95110</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(408) 216-8360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9585" w:type="dxa"/>
        <w:jc w:val="left"/>
        <w:tblInd w:w="0" w:type="dxa"/>
        <w:tblLayout w:type="fixed"/>
        <w:tblCellMar>
          <w:top w:w="0" w:type="dxa"/>
          <w:left w:w="0" w:type="dxa"/>
          <w:bottom w:w="28" w:type="dxa"/>
          <w:right w:w="0" w:type="dxa"/>
        </w:tblCellMar>
      </w:tblPr>
      <w:tblGrid>
        <w:gridCol w:w="4475"/>
        <w:gridCol w:w="1535"/>
        <w:gridCol w:w="3575"/>
      </w:tblGrid>
      <w:tr>
        <w:trPr/>
        <w:tc>
          <w:tcPr>
            <w:tcW w:w="447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4475" w:type="dxa"/>
            <w:tcBorders/>
            <w:tcMar>
              <w:bottom w:w="0" w:type="dxa"/>
            </w:tcMar>
            <w:vAlign w:val="center"/>
          </w:tcPr>
          <w:p>
            <w:pPr>
              <w:pStyle w:val="TableContents"/>
              <w:bidi w:val="0"/>
              <w:spacing w:before="0" w:after="283"/>
              <w:jc w:val="center"/>
              <w:rPr>
                <w:sz w:val="20"/>
              </w:rPr>
            </w:pPr>
            <w:r>
              <w:rPr>
                <w:sz w:val="20"/>
              </w:rPr>
              <w:t>Class A Common Stock, $0.000025 par value per share</w:t>
            </w:r>
          </w:p>
        </w:tc>
        <w:tc>
          <w:tcPr>
            <w:tcW w:w="1535" w:type="dxa"/>
            <w:tcBorders/>
            <w:tcMar>
              <w:bottom w:w="0" w:type="dxa"/>
            </w:tcMar>
            <w:vAlign w:val="center"/>
          </w:tcPr>
          <w:p>
            <w:pPr>
              <w:pStyle w:val="TableContents"/>
              <w:bidi w:val="0"/>
              <w:spacing w:before="0" w:after="283"/>
              <w:jc w:val="center"/>
              <w:rPr>
                <w:sz w:val="20"/>
              </w:rPr>
            </w:pPr>
            <w:r>
              <w:rPr>
                <w:sz w:val="20"/>
              </w:rPr>
              <w:t>NTNX</w:t>
            </w:r>
          </w:p>
        </w:tc>
        <w:tc>
          <w:tcPr>
            <w:tcW w:w="3575" w:type="dxa"/>
            <w:tcBorders/>
            <w:tcMar>
              <w:bottom w:w="0" w:type="dxa"/>
            </w:tcMar>
            <w:vAlign w:val="center"/>
          </w:tcPr>
          <w:p>
            <w:pPr>
              <w:pStyle w:val="TableContents"/>
              <w:bidi w:val="0"/>
              <w:spacing w:before="0" w:after="283"/>
              <w:jc w:val="center"/>
              <w:rPr>
                <w:sz w:val="20"/>
              </w:rPr>
            </w:pPr>
            <w:r>
              <w:rPr>
                <w:sz w:val="20"/>
              </w:rPr>
              <w:t>The Nasdaq Global Select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ind w:left="0" w:right="0" w:hanging="0"/>
        <w:jc w:val="left"/>
        <w:rPr/>
      </w:pPr>
      <w:r>
        <w:rPr>
          <w:rStyle w:val="StrongEmphasis"/>
          <w:caps w:val="false"/>
          <w:smallCaps w:val="false"/>
        </w:rPr>
        <w:t> </w:t>
      </w:r>
    </w:p>
    <w:p>
      <w:pPr>
        <w:pStyle w:val="TextBody"/>
        <w:bidi w:val="0"/>
        <w:spacing w:before="0" w:after="0"/>
        <w:ind w:left="0" w:right="0" w:firstLine="44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2026, Nutanix, Inc. (the “Company”) issued a press release announcing the Company’s financial results for its fourth fiscal quarter and fiscal year ended July 31, 2026. A copy of this press release is attached hereto as Exhibit 99.1.</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44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pursuant to Item 2.02 of this Current Report on Form 8-K, including Exhibit 99.1 hereto, is being furnished and shall not be deemed “filed” for purposes of Section 18 of the Securities Exchange Act of 1934, as amended (the “Exchange Act”), or otherwise be subject to the liabilities of that section, nor shall it be deemed to be incorporated by reference in any filing under the Securities Act of 1933, as amended, or the rules and regulations of the Securities and Exchange Commission (the “SEC”) thereunder, or the Exchange Act or the rules and regulations of the SEC thereunder, except as shall be expressly set forth by specific reference in such filing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ind w:left="0" w:right="0" w:hanging="0"/>
        <w:jc w:val="left"/>
        <w:rPr/>
      </w:pPr>
      <w:r>
        <w:rPr>
          <w:rStyle w:val="StrongEmphasis"/>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385"/>
        <w:gridCol w:w="60"/>
        <w:gridCol w:w="6470"/>
      </w:tblGrid>
      <w:tr>
        <w:trPr/>
        <w:tc>
          <w:tcPr>
            <w:tcW w:w="1385" w:type="dxa"/>
            <w:tcBorders/>
            <w:vAlign w:val="bottom"/>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issued by Nutanix, Inc. on August 26, 2026</w:t>
              </w:r>
            </w:hyperlink>
          </w:p>
        </w:tc>
      </w:tr>
      <w:tr>
        <w:trPr/>
        <w:tc>
          <w:tcPr>
            <w:tcW w:w="138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455" w:type="dxa"/>
        <w:jc w:val="left"/>
        <w:tblInd w:w="0" w:type="dxa"/>
        <w:tblLayout w:type="fixed"/>
        <w:tblCellMar>
          <w:top w:w="0" w:type="dxa"/>
          <w:left w:w="0" w:type="dxa"/>
          <w:bottom w:w="0" w:type="dxa"/>
          <w:right w:w="0" w:type="dxa"/>
        </w:tblCellMar>
      </w:tblPr>
      <w:tblGrid>
        <w:gridCol w:w="1850"/>
        <w:gridCol w:w="365"/>
        <w:gridCol w:w="2240"/>
      </w:tblGrid>
      <w:tr>
        <w:trPr/>
        <w:tc>
          <w:tcPr>
            <w:tcW w:w="1850"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b/>
                <w:sz w:val="20"/>
              </w:rPr>
            </w:pPr>
            <w:r>
              <w:rPr>
                <w:b/>
                <w:sz w:val="20"/>
              </w:rPr>
              <w:t>NUTANIX, INC.</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20"/>
              </w:rPr>
            </w:pPr>
            <w:r>
              <w:rPr>
                <w:sz w:val="20"/>
              </w:rPr>
              <w:t>Date: August 26, 2026</w:t>
            </w:r>
          </w:p>
        </w:tc>
        <w:tc>
          <w:tcPr>
            <w:tcW w:w="365" w:type="dxa"/>
            <w:tcBorders/>
            <w:vAlign w:val="center"/>
          </w:tcPr>
          <w:p>
            <w:pPr>
              <w:pStyle w:val="TableContents"/>
              <w:bidi w:val="0"/>
              <w:spacing w:before="0" w:after="283"/>
              <w:jc w:val="left"/>
              <w:rPr>
                <w:sz w:val="20"/>
              </w:rPr>
            </w:pPr>
            <w:r>
              <w:rPr>
                <w:sz w:val="20"/>
              </w:rPr>
              <w:t>By: </w:t>
            </w:r>
          </w:p>
        </w:tc>
        <w:tc>
          <w:tcPr>
            <w:tcW w:w="2240" w:type="dxa"/>
            <w:tcBorders/>
            <w:vAlign w:val="center"/>
          </w:tcPr>
          <w:p>
            <w:pPr>
              <w:pStyle w:val="TableContents"/>
              <w:bidi w:val="0"/>
              <w:spacing w:before="0" w:after="283"/>
              <w:jc w:val="left"/>
              <w:rPr>
                <w:sz w:val="20"/>
                <w:u w:val="single"/>
              </w:rPr>
            </w:pPr>
            <w:r>
              <w:rPr>
                <w:sz w:val="20"/>
                <w:u w:val="single"/>
              </w:rPr>
              <w:t>/s/ Rukmini Sivaraman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sz w:val="20"/>
              </w:rPr>
            </w:pPr>
            <w:r>
              <w:rPr>
                <w:sz w:val="20"/>
              </w:rPr>
              <w:t>Rukmini Sivaraman</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sz w:val="20"/>
              </w:rPr>
            </w:pPr>
            <w:r>
              <w:rPr>
                <w:sz w:val="20"/>
              </w:rPr>
              <w:t>Chief Financial Officer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Nutanix Reports Fourth Quarter and Fiscal 2026 Financial Results</w:t>
      </w:r>
    </w:p>
    <w:p>
      <w:pPr>
        <w:pStyle w:val="TextBody"/>
        <w:bidi w:val="0"/>
        <w:jc w:val="center"/>
        <w:rPr/>
      </w:pPr>
      <w:r>
        <w:rPr>
          <w:rStyle w:val="Emphasis"/>
        </w:rPr>
        <w:t>Reports 16% YoY ARR Growth and Strong Free Cash Flow for Fiscal 2026</w:t>
      </w:r>
    </w:p>
    <w:p>
      <w:pPr>
        <w:pStyle w:val="TextBody"/>
        <w:bidi w:val="0"/>
        <w:jc w:val="center"/>
        <w:rPr/>
      </w:pPr>
      <w:r>
        <w:rPr>
          <w:rStyle w:val="Emphasis"/>
        </w:rPr>
        <w:t>Delivers Outperformance Across All Fourth Quarter Guided Metrics</w:t>
      </w:r>
    </w:p>
    <w:p>
      <w:pPr>
        <w:pStyle w:val="TextBody"/>
        <w:bidi w:val="0"/>
        <w:spacing w:before="0" w:after="283"/>
        <w:jc w:val="left"/>
        <w:rPr/>
      </w:pPr>
      <w:r>
        <w:rPr/>
        <w:t>SAN JOSE, Calif., Aug. 26, 2026 (GLOBE NEWSWIRE) -- Nutanix</w:t>
      </w:r>
      <w:r>
        <w:rPr>
          <w:u w:val="single"/>
        </w:rPr>
        <w:t>, Inc.</w:t>
      </w:r>
      <w:r>
        <w:rPr/>
        <w:t xml:space="preserve"> (NASDAQ: NTNX), a hybrid cloud leader and AI innovator, today announced financial results for its fourth quarter and fiscal year ended July 31, 2026.</w:t>
      </w:r>
    </w:p>
    <w:p>
      <w:pPr>
        <w:pStyle w:val="TextBody"/>
        <w:bidi w:val="0"/>
        <w:spacing w:before="0" w:after="283"/>
        <w:jc w:val="left"/>
        <w:rPr/>
      </w:pPr>
      <w:r>
        <w:rPr/>
        <w:t>“</w:t>
      </w:r>
      <w:r>
        <w:rPr/>
        <w:t>Our fourth quarter was a strong finish to fiscal 2026, a year in which we delivered solid top and bottom line performance and added over 3,000 new customers,” said Rajiv Ramaswami, CEO of Nutanix. “In FY26, we made good progress with respect to partnerships, signing new or enhanced agreements with AMD, Lenovo, NetApp and NVIDIA. We also delivered innovation across our cloud platform, especially with respect to AI and broadening our support for external storage.”</w:t>
      </w:r>
    </w:p>
    <w:p>
      <w:pPr>
        <w:pStyle w:val="TextBody"/>
        <w:bidi w:val="0"/>
        <w:spacing w:before="0" w:after="283"/>
        <w:jc w:val="left"/>
        <w:rPr/>
      </w:pPr>
      <w:r>
        <w:rPr/>
        <w:t>“</w:t>
      </w:r>
      <w:r>
        <w:rPr/>
        <w:t>Our fiscal 2026 results demonstrated a good balance of top and bottom line performance with 16% year-over-year ARR growth and strong free cash flow generation,” said Rukmini Sivaraman, CFO of Nutanix. “We remain focused on delivering sustainable growth and improving profitability.”</w:t>
      </w:r>
    </w:p>
    <w:p>
      <w:pPr>
        <w:pStyle w:val="TextBody"/>
        <w:bidi w:val="0"/>
        <w:spacing w:before="0" w:after="283"/>
        <w:jc w:val="left"/>
        <w:rPr/>
      </w:pPr>
      <w:r>
        <w:rPr>
          <w:rStyle w:val="StrongEmphasis"/>
        </w:rPr>
        <w:t>Fourth Quarter Fiscal 2026 Financial Summary</w:t>
      </w:r>
    </w:p>
    <w:tbl>
      <w:tblPr>
        <w:tblW w:w="8584" w:type="dxa"/>
        <w:jc w:val="left"/>
        <w:tblInd w:w="0" w:type="dxa"/>
        <w:tblLayout w:type="fixed"/>
        <w:tblCellMar>
          <w:top w:w="28" w:type="dxa"/>
          <w:left w:w="28" w:type="dxa"/>
          <w:bottom w:w="28" w:type="dxa"/>
          <w:right w:w="28" w:type="dxa"/>
        </w:tblCellMar>
      </w:tblPr>
      <w:tblGrid>
        <w:gridCol w:w="4186"/>
        <w:gridCol w:w="1486"/>
        <w:gridCol w:w="1486"/>
        <w:gridCol w:w="1426"/>
      </w:tblGrid>
      <w:tr>
        <w:trPr/>
        <w:tc>
          <w:tcPr>
            <w:tcW w:w="418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pPr>
            <w:r>
              <w:rPr>
                <w:rStyle w:val="StrongEmphasis"/>
              </w:rPr>
              <w:t>Q4 FY’26</w:t>
            </w:r>
          </w:p>
        </w:tc>
        <w:tc>
          <w:tcPr>
            <w:tcW w:w="1486" w:type="dxa"/>
            <w:tcBorders/>
            <w:vAlign w:val="center"/>
          </w:tcPr>
          <w:p>
            <w:pPr>
              <w:pStyle w:val="TableContents"/>
              <w:bidi w:val="0"/>
              <w:spacing w:before="0" w:after="283"/>
              <w:jc w:val="center"/>
              <w:rPr/>
            </w:pPr>
            <w:r>
              <w:rPr>
                <w:rStyle w:val="StrongEmphasis"/>
              </w:rPr>
              <w:t>Q4 FY’25</w:t>
            </w:r>
          </w:p>
        </w:tc>
        <w:tc>
          <w:tcPr>
            <w:tcW w:w="1426" w:type="dxa"/>
            <w:tcBorders/>
            <w:vAlign w:val="center"/>
          </w:tcPr>
          <w:p>
            <w:pPr>
              <w:pStyle w:val="TableContents"/>
              <w:bidi w:val="0"/>
              <w:spacing w:before="0" w:after="283"/>
              <w:jc w:val="center"/>
              <w:rPr/>
            </w:pPr>
            <w:r>
              <w:rPr>
                <w:rStyle w:val="StrongEmphasis"/>
              </w:rPr>
              <w:t>Y/Y Change</w:t>
            </w:r>
          </w:p>
        </w:tc>
      </w:tr>
      <w:tr>
        <w:trPr/>
        <w:tc>
          <w:tcPr>
            <w:tcW w:w="4186" w:type="dxa"/>
            <w:tcBorders/>
            <w:vAlign w:val="center"/>
          </w:tcPr>
          <w:p>
            <w:pPr>
              <w:pStyle w:val="TableContents"/>
              <w:bidi w:val="0"/>
              <w:spacing w:before="0" w:after="283"/>
              <w:jc w:val="left"/>
              <w:rPr/>
            </w:pPr>
            <w:r>
              <w:rPr/>
              <w:t>Annual Recurring Revenue (ARR)</w:t>
            </w:r>
            <w:r>
              <w:rPr>
                <w:position w:val="8"/>
                <w:sz w:val="19"/>
              </w:rPr>
              <w:t>1</w:t>
            </w:r>
          </w:p>
        </w:tc>
        <w:tc>
          <w:tcPr>
            <w:tcW w:w="1486" w:type="dxa"/>
            <w:tcBorders/>
            <w:vAlign w:val="center"/>
          </w:tcPr>
          <w:p>
            <w:pPr>
              <w:pStyle w:val="TableContents"/>
              <w:bidi w:val="0"/>
              <w:spacing w:before="0" w:after="283"/>
              <w:jc w:val="center"/>
              <w:rPr/>
            </w:pPr>
            <w:r>
              <w:rPr/>
              <w:t>$2.55 billion</w:t>
            </w:r>
          </w:p>
        </w:tc>
        <w:tc>
          <w:tcPr>
            <w:tcW w:w="1486" w:type="dxa"/>
            <w:tcBorders/>
            <w:vAlign w:val="center"/>
          </w:tcPr>
          <w:p>
            <w:pPr>
              <w:pStyle w:val="TableContents"/>
              <w:bidi w:val="0"/>
              <w:spacing w:before="0" w:after="283"/>
              <w:jc w:val="center"/>
              <w:rPr/>
            </w:pPr>
            <w:r>
              <w:rPr/>
              <w:t>$2.20 billion</w:t>
            </w:r>
          </w:p>
        </w:tc>
        <w:tc>
          <w:tcPr>
            <w:tcW w:w="1426" w:type="dxa"/>
            <w:tcBorders/>
            <w:vAlign w:val="center"/>
          </w:tcPr>
          <w:p>
            <w:pPr>
              <w:pStyle w:val="TableContents"/>
              <w:bidi w:val="0"/>
              <w:spacing w:before="0" w:after="283"/>
              <w:jc w:val="center"/>
              <w:rPr/>
            </w:pPr>
            <w:r>
              <w:rPr/>
              <w:t>16%</w:t>
            </w:r>
          </w:p>
        </w:tc>
      </w:tr>
      <w:tr>
        <w:trPr/>
        <w:tc>
          <w:tcPr>
            <w:tcW w:w="4186" w:type="dxa"/>
            <w:tcBorders/>
            <w:vAlign w:val="center"/>
          </w:tcPr>
          <w:p>
            <w:pPr>
              <w:pStyle w:val="TableContents"/>
              <w:bidi w:val="0"/>
              <w:spacing w:before="0" w:after="283"/>
              <w:jc w:val="left"/>
              <w:rPr/>
            </w:pPr>
            <w:r>
              <w:rPr/>
              <w:t>Average Contract Duration</w:t>
            </w:r>
            <w:r>
              <w:rPr>
                <w:rStyle w:val="Emphasis"/>
                <w:position w:val="8"/>
                <w:sz w:val="19"/>
              </w:rPr>
              <w:t>2</w:t>
            </w:r>
          </w:p>
        </w:tc>
        <w:tc>
          <w:tcPr>
            <w:tcW w:w="1486" w:type="dxa"/>
            <w:tcBorders/>
            <w:vAlign w:val="center"/>
          </w:tcPr>
          <w:p>
            <w:pPr>
              <w:pStyle w:val="TableContents"/>
              <w:bidi w:val="0"/>
              <w:spacing w:before="0" w:after="283"/>
              <w:jc w:val="center"/>
              <w:rPr/>
            </w:pPr>
            <w:r>
              <w:rPr/>
              <w:t>3.3 years</w:t>
            </w:r>
          </w:p>
        </w:tc>
        <w:tc>
          <w:tcPr>
            <w:tcW w:w="1486" w:type="dxa"/>
            <w:tcBorders/>
            <w:vAlign w:val="center"/>
          </w:tcPr>
          <w:p>
            <w:pPr>
              <w:pStyle w:val="TableContents"/>
              <w:bidi w:val="0"/>
              <w:spacing w:before="0" w:after="283"/>
              <w:jc w:val="center"/>
              <w:rPr/>
            </w:pPr>
            <w:r>
              <w:rPr/>
              <w:t>3.2 years</w:t>
            </w:r>
          </w:p>
        </w:tc>
        <w:tc>
          <w:tcPr>
            <w:tcW w:w="1426" w:type="dxa"/>
            <w:tcBorders/>
            <w:vAlign w:val="center"/>
          </w:tcPr>
          <w:p>
            <w:pPr>
              <w:pStyle w:val="TableContents"/>
              <w:bidi w:val="0"/>
              <w:spacing w:before="0" w:after="283"/>
              <w:jc w:val="center"/>
              <w:rPr/>
            </w:pPr>
            <w:r>
              <w:rPr/>
              <w:t>0.1 years</w:t>
            </w:r>
          </w:p>
        </w:tc>
      </w:tr>
      <w:tr>
        <w:trPr/>
        <w:tc>
          <w:tcPr>
            <w:tcW w:w="4186" w:type="dxa"/>
            <w:tcBorders/>
            <w:vAlign w:val="center"/>
          </w:tcPr>
          <w:p>
            <w:pPr>
              <w:pStyle w:val="TableContents"/>
              <w:bidi w:val="0"/>
              <w:spacing w:before="0" w:after="283"/>
              <w:jc w:val="left"/>
              <w:rPr/>
            </w:pPr>
            <w:r>
              <w:rPr/>
              <w:t>Revenue</w:t>
            </w:r>
          </w:p>
        </w:tc>
        <w:tc>
          <w:tcPr>
            <w:tcW w:w="1486" w:type="dxa"/>
            <w:tcBorders/>
            <w:vAlign w:val="center"/>
          </w:tcPr>
          <w:p>
            <w:pPr>
              <w:pStyle w:val="TableContents"/>
              <w:bidi w:val="0"/>
              <w:spacing w:before="0" w:after="283"/>
              <w:jc w:val="center"/>
              <w:rPr/>
            </w:pPr>
            <w:r>
              <w:rPr/>
              <w:t>$757.1 million</w:t>
            </w:r>
          </w:p>
        </w:tc>
        <w:tc>
          <w:tcPr>
            <w:tcW w:w="1486" w:type="dxa"/>
            <w:tcBorders/>
            <w:vAlign w:val="center"/>
          </w:tcPr>
          <w:p>
            <w:pPr>
              <w:pStyle w:val="TableContents"/>
              <w:bidi w:val="0"/>
              <w:spacing w:before="0" w:after="283"/>
              <w:jc w:val="center"/>
              <w:rPr/>
            </w:pPr>
            <w:r>
              <w:rPr/>
              <w:t>$653.3 million</w:t>
            </w:r>
          </w:p>
        </w:tc>
        <w:tc>
          <w:tcPr>
            <w:tcW w:w="1426" w:type="dxa"/>
            <w:tcBorders/>
            <w:vAlign w:val="center"/>
          </w:tcPr>
          <w:p>
            <w:pPr>
              <w:pStyle w:val="TableContents"/>
              <w:bidi w:val="0"/>
              <w:spacing w:before="0" w:after="283"/>
              <w:jc w:val="center"/>
              <w:rPr/>
            </w:pPr>
            <w:r>
              <w:rPr/>
              <w:t>16%</w:t>
            </w:r>
          </w:p>
        </w:tc>
      </w:tr>
      <w:tr>
        <w:trPr/>
        <w:tc>
          <w:tcPr>
            <w:tcW w:w="4186" w:type="dxa"/>
            <w:tcBorders/>
            <w:vAlign w:val="center"/>
          </w:tcPr>
          <w:p>
            <w:pPr>
              <w:pStyle w:val="TableContents"/>
              <w:bidi w:val="0"/>
              <w:spacing w:before="0" w:after="283"/>
              <w:jc w:val="left"/>
              <w:rPr/>
            </w:pPr>
            <w:r>
              <w:rPr/>
              <w:t>GAAP Gross Margin</w:t>
            </w:r>
          </w:p>
        </w:tc>
        <w:tc>
          <w:tcPr>
            <w:tcW w:w="1486" w:type="dxa"/>
            <w:tcBorders/>
            <w:vAlign w:val="center"/>
          </w:tcPr>
          <w:p>
            <w:pPr>
              <w:pStyle w:val="TableContents"/>
              <w:bidi w:val="0"/>
              <w:spacing w:before="0" w:after="283"/>
              <w:jc w:val="center"/>
              <w:rPr/>
            </w:pPr>
            <w:r>
              <w:rPr/>
              <w:t>86.0%</w:t>
            </w:r>
          </w:p>
        </w:tc>
        <w:tc>
          <w:tcPr>
            <w:tcW w:w="1486" w:type="dxa"/>
            <w:tcBorders/>
            <w:vAlign w:val="center"/>
          </w:tcPr>
          <w:p>
            <w:pPr>
              <w:pStyle w:val="TableContents"/>
              <w:bidi w:val="0"/>
              <w:spacing w:before="0" w:after="283"/>
              <w:jc w:val="center"/>
              <w:rPr/>
            </w:pPr>
            <w:r>
              <w:rPr/>
              <w:t>87.2%</w:t>
            </w:r>
          </w:p>
        </w:tc>
        <w:tc>
          <w:tcPr>
            <w:tcW w:w="1426" w:type="dxa"/>
            <w:tcBorders/>
            <w:vAlign w:val="center"/>
          </w:tcPr>
          <w:p>
            <w:pPr>
              <w:pStyle w:val="TableContents"/>
              <w:bidi w:val="0"/>
              <w:spacing w:before="0" w:after="283"/>
              <w:jc w:val="center"/>
              <w:rPr/>
            </w:pPr>
            <w:r>
              <w:rPr/>
              <w:t>(120) bps</w:t>
            </w:r>
          </w:p>
        </w:tc>
      </w:tr>
      <w:tr>
        <w:trPr/>
        <w:tc>
          <w:tcPr>
            <w:tcW w:w="4186" w:type="dxa"/>
            <w:tcBorders/>
            <w:vAlign w:val="center"/>
          </w:tcPr>
          <w:p>
            <w:pPr>
              <w:pStyle w:val="TableContents"/>
              <w:bidi w:val="0"/>
              <w:spacing w:before="0" w:after="283"/>
              <w:jc w:val="left"/>
              <w:rPr/>
            </w:pPr>
            <w:r>
              <w:rPr/>
              <w:t>Non-GAAP Gross Margin</w:t>
            </w:r>
          </w:p>
        </w:tc>
        <w:tc>
          <w:tcPr>
            <w:tcW w:w="1486" w:type="dxa"/>
            <w:tcBorders/>
            <w:vAlign w:val="center"/>
          </w:tcPr>
          <w:p>
            <w:pPr>
              <w:pStyle w:val="TableContents"/>
              <w:bidi w:val="0"/>
              <w:spacing w:before="0" w:after="283"/>
              <w:jc w:val="center"/>
              <w:rPr/>
            </w:pPr>
            <w:r>
              <w:rPr/>
              <w:t>87.7%</w:t>
            </w:r>
          </w:p>
        </w:tc>
        <w:tc>
          <w:tcPr>
            <w:tcW w:w="1486" w:type="dxa"/>
            <w:tcBorders/>
            <w:vAlign w:val="center"/>
          </w:tcPr>
          <w:p>
            <w:pPr>
              <w:pStyle w:val="TableContents"/>
              <w:bidi w:val="0"/>
              <w:spacing w:before="0" w:after="283"/>
              <w:jc w:val="center"/>
              <w:rPr/>
            </w:pPr>
            <w:r>
              <w:rPr/>
              <w:t>88.3%</w:t>
            </w:r>
          </w:p>
        </w:tc>
        <w:tc>
          <w:tcPr>
            <w:tcW w:w="1426" w:type="dxa"/>
            <w:tcBorders/>
            <w:vAlign w:val="center"/>
          </w:tcPr>
          <w:p>
            <w:pPr>
              <w:pStyle w:val="TableContents"/>
              <w:bidi w:val="0"/>
              <w:spacing w:before="0" w:after="283"/>
              <w:jc w:val="center"/>
              <w:rPr/>
            </w:pPr>
            <w:r>
              <w:rPr/>
              <w:t>(60) bps</w:t>
            </w:r>
          </w:p>
        </w:tc>
      </w:tr>
      <w:tr>
        <w:trPr/>
        <w:tc>
          <w:tcPr>
            <w:tcW w:w="4186" w:type="dxa"/>
            <w:tcBorders/>
            <w:vAlign w:val="center"/>
          </w:tcPr>
          <w:p>
            <w:pPr>
              <w:pStyle w:val="TableContents"/>
              <w:bidi w:val="0"/>
              <w:spacing w:before="0" w:after="283"/>
              <w:jc w:val="left"/>
              <w:rPr/>
            </w:pPr>
            <w:r>
              <w:rPr/>
              <w:t>GAAP Operating Expenses</w:t>
            </w:r>
          </w:p>
        </w:tc>
        <w:tc>
          <w:tcPr>
            <w:tcW w:w="1486" w:type="dxa"/>
            <w:tcBorders/>
            <w:vAlign w:val="center"/>
          </w:tcPr>
          <w:p>
            <w:pPr>
              <w:pStyle w:val="TableContents"/>
              <w:bidi w:val="0"/>
              <w:spacing w:before="0" w:after="283"/>
              <w:jc w:val="center"/>
              <w:rPr/>
            </w:pPr>
            <w:r>
              <w:rPr/>
              <w:t>$581.4 million</w:t>
            </w:r>
          </w:p>
        </w:tc>
        <w:tc>
          <w:tcPr>
            <w:tcW w:w="1486" w:type="dxa"/>
            <w:tcBorders/>
            <w:vAlign w:val="center"/>
          </w:tcPr>
          <w:p>
            <w:pPr>
              <w:pStyle w:val="TableContents"/>
              <w:bidi w:val="0"/>
              <w:spacing w:before="0" w:after="283"/>
              <w:jc w:val="center"/>
              <w:rPr/>
            </w:pPr>
            <w:r>
              <w:rPr/>
              <w:t>$538.2 million</w:t>
            </w:r>
          </w:p>
        </w:tc>
        <w:tc>
          <w:tcPr>
            <w:tcW w:w="1426" w:type="dxa"/>
            <w:tcBorders/>
            <w:vAlign w:val="center"/>
          </w:tcPr>
          <w:p>
            <w:pPr>
              <w:pStyle w:val="TableContents"/>
              <w:bidi w:val="0"/>
              <w:spacing w:before="0" w:after="283"/>
              <w:jc w:val="center"/>
              <w:rPr/>
            </w:pPr>
            <w:r>
              <w:rPr/>
              <w:t>8%</w:t>
            </w:r>
          </w:p>
        </w:tc>
      </w:tr>
      <w:tr>
        <w:trPr/>
        <w:tc>
          <w:tcPr>
            <w:tcW w:w="4186" w:type="dxa"/>
            <w:tcBorders/>
            <w:vAlign w:val="center"/>
          </w:tcPr>
          <w:p>
            <w:pPr>
              <w:pStyle w:val="TableContents"/>
              <w:bidi w:val="0"/>
              <w:spacing w:before="0" w:after="283"/>
              <w:jc w:val="left"/>
              <w:rPr/>
            </w:pPr>
            <w:r>
              <w:rPr/>
              <w:t>Non-GAAP Operating Expenses</w:t>
            </w:r>
          </w:p>
        </w:tc>
        <w:tc>
          <w:tcPr>
            <w:tcW w:w="1486" w:type="dxa"/>
            <w:tcBorders/>
            <w:vAlign w:val="center"/>
          </w:tcPr>
          <w:p>
            <w:pPr>
              <w:pStyle w:val="TableContents"/>
              <w:bidi w:val="0"/>
              <w:spacing w:before="0" w:after="283"/>
              <w:jc w:val="center"/>
              <w:rPr/>
            </w:pPr>
            <w:r>
              <w:rPr/>
              <w:t>$465.6 million</w:t>
            </w:r>
          </w:p>
        </w:tc>
        <w:tc>
          <w:tcPr>
            <w:tcW w:w="1486" w:type="dxa"/>
            <w:tcBorders/>
            <w:vAlign w:val="center"/>
          </w:tcPr>
          <w:p>
            <w:pPr>
              <w:pStyle w:val="TableContents"/>
              <w:bidi w:val="0"/>
              <w:spacing w:before="0" w:after="283"/>
              <w:jc w:val="center"/>
              <w:rPr/>
            </w:pPr>
            <w:r>
              <w:rPr/>
              <w:t>$457.2 million</w:t>
            </w:r>
          </w:p>
        </w:tc>
        <w:tc>
          <w:tcPr>
            <w:tcW w:w="1426" w:type="dxa"/>
            <w:tcBorders/>
            <w:vAlign w:val="center"/>
          </w:tcPr>
          <w:p>
            <w:pPr>
              <w:pStyle w:val="TableContents"/>
              <w:bidi w:val="0"/>
              <w:spacing w:before="0" w:after="283"/>
              <w:jc w:val="center"/>
              <w:rPr/>
            </w:pPr>
            <w:r>
              <w:rPr/>
              <w:t>2%</w:t>
            </w:r>
          </w:p>
        </w:tc>
      </w:tr>
      <w:tr>
        <w:trPr/>
        <w:tc>
          <w:tcPr>
            <w:tcW w:w="4186" w:type="dxa"/>
            <w:tcBorders/>
            <w:vAlign w:val="center"/>
          </w:tcPr>
          <w:p>
            <w:pPr>
              <w:pStyle w:val="TableContents"/>
              <w:bidi w:val="0"/>
              <w:spacing w:before="0" w:after="283"/>
              <w:jc w:val="left"/>
              <w:rPr/>
            </w:pPr>
            <w:r>
              <w:rPr/>
              <w:t>GAAP Operating Income</w:t>
            </w:r>
          </w:p>
        </w:tc>
        <w:tc>
          <w:tcPr>
            <w:tcW w:w="1486" w:type="dxa"/>
            <w:tcBorders/>
            <w:vAlign w:val="center"/>
          </w:tcPr>
          <w:p>
            <w:pPr>
              <w:pStyle w:val="TableContents"/>
              <w:bidi w:val="0"/>
              <w:spacing w:before="0" w:after="283"/>
              <w:jc w:val="center"/>
              <w:rPr/>
            </w:pPr>
            <w:r>
              <w:rPr/>
              <w:t>$70.0 million</w:t>
            </w:r>
          </w:p>
        </w:tc>
        <w:tc>
          <w:tcPr>
            <w:tcW w:w="1486" w:type="dxa"/>
            <w:tcBorders/>
            <w:vAlign w:val="center"/>
          </w:tcPr>
          <w:p>
            <w:pPr>
              <w:pStyle w:val="TableContents"/>
              <w:bidi w:val="0"/>
              <w:spacing w:before="0" w:after="283"/>
              <w:jc w:val="center"/>
              <w:rPr/>
            </w:pPr>
            <w:r>
              <w:rPr/>
              <w:t>$31.2 million</w:t>
            </w:r>
          </w:p>
        </w:tc>
        <w:tc>
          <w:tcPr>
            <w:tcW w:w="1426" w:type="dxa"/>
            <w:tcBorders/>
            <w:vAlign w:val="center"/>
          </w:tcPr>
          <w:p>
            <w:pPr>
              <w:pStyle w:val="TableContents"/>
              <w:bidi w:val="0"/>
              <w:spacing w:before="0" w:after="283"/>
              <w:jc w:val="center"/>
              <w:rPr/>
            </w:pPr>
            <w:r>
              <w:rPr/>
              <w:t>$38.8 million</w:t>
            </w:r>
          </w:p>
        </w:tc>
      </w:tr>
      <w:tr>
        <w:trPr/>
        <w:tc>
          <w:tcPr>
            <w:tcW w:w="4186" w:type="dxa"/>
            <w:tcBorders/>
            <w:vAlign w:val="center"/>
          </w:tcPr>
          <w:p>
            <w:pPr>
              <w:pStyle w:val="TableContents"/>
              <w:bidi w:val="0"/>
              <w:spacing w:before="0" w:after="283"/>
              <w:jc w:val="left"/>
              <w:rPr/>
            </w:pPr>
            <w:r>
              <w:rPr/>
              <w:t>Non-GAAP Operating Income</w:t>
            </w:r>
          </w:p>
        </w:tc>
        <w:tc>
          <w:tcPr>
            <w:tcW w:w="1486" w:type="dxa"/>
            <w:tcBorders/>
            <w:vAlign w:val="center"/>
          </w:tcPr>
          <w:p>
            <w:pPr>
              <w:pStyle w:val="TableContents"/>
              <w:bidi w:val="0"/>
              <w:spacing w:before="0" w:after="283"/>
              <w:jc w:val="center"/>
              <w:rPr/>
            </w:pPr>
            <w:r>
              <w:rPr/>
              <w:t>$198.0 million</w:t>
            </w:r>
          </w:p>
        </w:tc>
        <w:tc>
          <w:tcPr>
            <w:tcW w:w="1486" w:type="dxa"/>
            <w:tcBorders/>
            <w:vAlign w:val="center"/>
          </w:tcPr>
          <w:p>
            <w:pPr>
              <w:pStyle w:val="TableContents"/>
              <w:bidi w:val="0"/>
              <w:spacing w:before="0" w:after="283"/>
              <w:jc w:val="center"/>
              <w:rPr/>
            </w:pPr>
            <w:r>
              <w:rPr/>
              <w:t>$119.5 million</w:t>
            </w:r>
          </w:p>
        </w:tc>
        <w:tc>
          <w:tcPr>
            <w:tcW w:w="1426" w:type="dxa"/>
            <w:tcBorders/>
            <w:vAlign w:val="center"/>
          </w:tcPr>
          <w:p>
            <w:pPr>
              <w:pStyle w:val="TableContents"/>
              <w:bidi w:val="0"/>
              <w:spacing w:before="0" w:after="283"/>
              <w:jc w:val="center"/>
              <w:rPr/>
            </w:pPr>
            <w:r>
              <w:rPr/>
              <w:t>$78.5 million</w:t>
            </w:r>
          </w:p>
        </w:tc>
      </w:tr>
      <w:tr>
        <w:trPr/>
        <w:tc>
          <w:tcPr>
            <w:tcW w:w="4186" w:type="dxa"/>
            <w:tcBorders/>
            <w:vAlign w:val="center"/>
          </w:tcPr>
          <w:p>
            <w:pPr>
              <w:pStyle w:val="TableContents"/>
              <w:bidi w:val="0"/>
              <w:spacing w:before="0" w:after="283"/>
              <w:jc w:val="left"/>
              <w:rPr/>
            </w:pPr>
            <w:r>
              <w:rPr/>
              <w:t>GAAP Operating Margin</w:t>
            </w:r>
          </w:p>
        </w:tc>
        <w:tc>
          <w:tcPr>
            <w:tcW w:w="1486" w:type="dxa"/>
            <w:tcBorders/>
            <w:vAlign w:val="center"/>
          </w:tcPr>
          <w:p>
            <w:pPr>
              <w:pStyle w:val="TableContents"/>
              <w:bidi w:val="0"/>
              <w:spacing w:before="0" w:after="283"/>
              <w:jc w:val="center"/>
              <w:rPr/>
            </w:pPr>
            <w:r>
              <w:rPr/>
              <w:t>9.2%</w:t>
            </w:r>
          </w:p>
        </w:tc>
        <w:tc>
          <w:tcPr>
            <w:tcW w:w="1486" w:type="dxa"/>
            <w:tcBorders/>
            <w:vAlign w:val="center"/>
          </w:tcPr>
          <w:p>
            <w:pPr>
              <w:pStyle w:val="TableContents"/>
              <w:bidi w:val="0"/>
              <w:spacing w:before="0" w:after="283"/>
              <w:jc w:val="center"/>
              <w:rPr/>
            </w:pPr>
            <w:r>
              <w:rPr/>
              <w:t>4.8%</w:t>
            </w:r>
          </w:p>
        </w:tc>
        <w:tc>
          <w:tcPr>
            <w:tcW w:w="1426" w:type="dxa"/>
            <w:tcBorders/>
            <w:vAlign w:val="center"/>
          </w:tcPr>
          <w:p>
            <w:pPr>
              <w:pStyle w:val="TableContents"/>
              <w:bidi w:val="0"/>
              <w:spacing w:before="0" w:after="283"/>
              <w:jc w:val="center"/>
              <w:rPr/>
            </w:pPr>
            <w:r>
              <w:rPr/>
              <w:t>440 bps</w:t>
            </w:r>
          </w:p>
        </w:tc>
      </w:tr>
      <w:tr>
        <w:trPr/>
        <w:tc>
          <w:tcPr>
            <w:tcW w:w="4186" w:type="dxa"/>
            <w:tcBorders/>
            <w:vAlign w:val="center"/>
          </w:tcPr>
          <w:p>
            <w:pPr>
              <w:pStyle w:val="TableContents"/>
              <w:bidi w:val="0"/>
              <w:spacing w:before="0" w:after="283"/>
              <w:jc w:val="left"/>
              <w:rPr/>
            </w:pPr>
            <w:r>
              <w:rPr/>
              <w:t>Non-GAAP Operating Margin</w:t>
            </w:r>
          </w:p>
        </w:tc>
        <w:tc>
          <w:tcPr>
            <w:tcW w:w="1486" w:type="dxa"/>
            <w:tcBorders/>
            <w:vAlign w:val="center"/>
          </w:tcPr>
          <w:p>
            <w:pPr>
              <w:pStyle w:val="TableContents"/>
              <w:bidi w:val="0"/>
              <w:spacing w:before="0" w:after="283"/>
              <w:jc w:val="center"/>
              <w:rPr/>
            </w:pPr>
            <w:r>
              <w:rPr/>
              <w:t>26.2%</w:t>
            </w:r>
          </w:p>
        </w:tc>
        <w:tc>
          <w:tcPr>
            <w:tcW w:w="1486" w:type="dxa"/>
            <w:tcBorders/>
            <w:vAlign w:val="center"/>
          </w:tcPr>
          <w:p>
            <w:pPr>
              <w:pStyle w:val="TableContents"/>
              <w:bidi w:val="0"/>
              <w:spacing w:before="0" w:after="283"/>
              <w:jc w:val="center"/>
              <w:rPr/>
            </w:pPr>
            <w:r>
              <w:rPr/>
              <w:t>18.3%</w:t>
            </w:r>
          </w:p>
        </w:tc>
        <w:tc>
          <w:tcPr>
            <w:tcW w:w="1426" w:type="dxa"/>
            <w:tcBorders/>
            <w:vAlign w:val="center"/>
          </w:tcPr>
          <w:p>
            <w:pPr>
              <w:pStyle w:val="TableContents"/>
              <w:bidi w:val="0"/>
              <w:spacing w:before="0" w:after="283"/>
              <w:jc w:val="center"/>
              <w:rPr/>
            </w:pPr>
            <w:r>
              <w:rPr/>
              <w:t>790 bps</w:t>
            </w:r>
          </w:p>
        </w:tc>
      </w:tr>
      <w:tr>
        <w:trPr/>
        <w:tc>
          <w:tcPr>
            <w:tcW w:w="4186" w:type="dxa"/>
            <w:tcBorders/>
            <w:vAlign w:val="center"/>
          </w:tcPr>
          <w:p>
            <w:pPr>
              <w:pStyle w:val="TableContents"/>
              <w:bidi w:val="0"/>
              <w:spacing w:before="0" w:after="283"/>
              <w:jc w:val="left"/>
              <w:rPr/>
            </w:pPr>
            <w:r>
              <w:rPr/>
              <w:t>Net Cash Provided by Operating Activities</w:t>
            </w:r>
          </w:p>
        </w:tc>
        <w:tc>
          <w:tcPr>
            <w:tcW w:w="1486" w:type="dxa"/>
            <w:tcBorders/>
            <w:vAlign w:val="center"/>
          </w:tcPr>
          <w:p>
            <w:pPr>
              <w:pStyle w:val="TableContents"/>
              <w:bidi w:val="0"/>
              <w:spacing w:before="0" w:after="283"/>
              <w:jc w:val="center"/>
              <w:rPr/>
            </w:pPr>
            <w:r>
              <w:rPr/>
              <w:t>$315.0 million</w:t>
            </w:r>
          </w:p>
        </w:tc>
        <w:tc>
          <w:tcPr>
            <w:tcW w:w="1486" w:type="dxa"/>
            <w:tcBorders/>
            <w:vAlign w:val="center"/>
          </w:tcPr>
          <w:p>
            <w:pPr>
              <w:pStyle w:val="TableContents"/>
              <w:bidi w:val="0"/>
              <w:spacing w:before="0" w:after="283"/>
              <w:jc w:val="center"/>
              <w:rPr/>
            </w:pPr>
            <w:r>
              <w:rPr/>
              <w:t>$219.5 million</w:t>
            </w:r>
          </w:p>
        </w:tc>
        <w:tc>
          <w:tcPr>
            <w:tcW w:w="1426" w:type="dxa"/>
            <w:tcBorders/>
            <w:vAlign w:val="center"/>
          </w:tcPr>
          <w:p>
            <w:pPr>
              <w:pStyle w:val="TableContents"/>
              <w:bidi w:val="0"/>
              <w:spacing w:before="0" w:after="283"/>
              <w:jc w:val="center"/>
              <w:rPr/>
            </w:pPr>
            <w:r>
              <w:rPr/>
              <w:t>$95.5 million</w:t>
            </w:r>
          </w:p>
        </w:tc>
      </w:tr>
      <w:tr>
        <w:trPr/>
        <w:tc>
          <w:tcPr>
            <w:tcW w:w="4186" w:type="dxa"/>
            <w:tcBorders/>
            <w:vAlign w:val="center"/>
          </w:tcPr>
          <w:p>
            <w:pPr>
              <w:pStyle w:val="TableContents"/>
              <w:bidi w:val="0"/>
              <w:spacing w:before="0" w:after="283"/>
              <w:jc w:val="left"/>
              <w:rPr/>
            </w:pPr>
            <w:r>
              <w:rPr/>
              <w:t>Free Cash Flow</w:t>
            </w:r>
          </w:p>
        </w:tc>
        <w:tc>
          <w:tcPr>
            <w:tcW w:w="1486" w:type="dxa"/>
            <w:tcBorders/>
            <w:vAlign w:val="center"/>
          </w:tcPr>
          <w:p>
            <w:pPr>
              <w:pStyle w:val="TableContents"/>
              <w:bidi w:val="0"/>
              <w:spacing w:before="0" w:after="283"/>
              <w:jc w:val="center"/>
              <w:rPr/>
            </w:pPr>
            <w:r>
              <w:rPr/>
              <w:t>$277.6 million</w:t>
            </w:r>
          </w:p>
        </w:tc>
        <w:tc>
          <w:tcPr>
            <w:tcW w:w="1486" w:type="dxa"/>
            <w:tcBorders/>
            <w:vAlign w:val="center"/>
          </w:tcPr>
          <w:p>
            <w:pPr>
              <w:pStyle w:val="TableContents"/>
              <w:bidi w:val="0"/>
              <w:spacing w:before="0" w:after="283"/>
              <w:jc w:val="center"/>
              <w:rPr/>
            </w:pPr>
            <w:r>
              <w:rPr/>
              <w:t>$207.8 million</w:t>
            </w:r>
          </w:p>
        </w:tc>
        <w:tc>
          <w:tcPr>
            <w:tcW w:w="1426" w:type="dxa"/>
            <w:tcBorders/>
            <w:vAlign w:val="center"/>
          </w:tcPr>
          <w:p>
            <w:pPr>
              <w:pStyle w:val="TableContents"/>
              <w:bidi w:val="0"/>
              <w:spacing w:before="0" w:after="283"/>
              <w:jc w:val="center"/>
              <w:rPr/>
            </w:pPr>
            <w:r>
              <w:rPr/>
              <w:t>$69.8 million</w:t>
            </w:r>
          </w:p>
        </w:tc>
      </w:tr>
    </w:tbl>
    <w:p>
      <w:pPr>
        <w:pStyle w:val="TextBody"/>
        <w:bidi w:val="0"/>
        <w:spacing w:before="0" w:after="283"/>
        <w:jc w:val="left"/>
        <w:rPr>
          <w:rStyle w:val="StrongEmphasis"/>
        </w:rPr>
      </w:pPr>
      <w:r>
        <w:rPr/>
      </w:r>
    </w:p>
    <w:p>
      <w:pPr>
        <w:pStyle w:val="TextBody"/>
        <w:bidi w:val="0"/>
        <w:spacing w:before="0" w:after="283"/>
        <w:jc w:val="left"/>
        <w:rPr/>
      </w:pPr>
      <w:r>
        <w:rPr>
          <w:rStyle w:val="StrongEmphasis"/>
        </w:rPr>
        <w:t>Fiscal 2026 Financial Summary</w:t>
      </w:r>
    </w:p>
    <w:tbl>
      <w:tblPr>
        <w:tblW w:w="8689" w:type="dxa"/>
        <w:jc w:val="left"/>
        <w:tblInd w:w="0" w:type="dxa"/>
        <w:tblLayout w:type="fixed"/>
        <w:tblCellMar>
          <w:top w:w="28" w:type="dxa"/>
          <w:left w:w="28" w:type="dxa"/>
          <w:bottom w:w="28" w:type="dxa"/>
          <w:right w:w="28" w:type="dxa"/>
        </w:tblCellMar>
      </w:tblPr>
      <w:tblGrid>
        <w:gridCol w:w="4186"/>
        <w:gridCol w:w="1486"/>
        <w:gridCol w:w="1486"/>
        <w:gridCol w:w="1531"/>
      </w:tblGrid>
      <w:tr>
        <w:trPr/>
        <w:tc>
          <w:tcPr>
            <w:tcW w:w="418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pPr>
            <w:r>
              <w:rPr>
                <w:rStyle w:val="StrongEmphasis"/>
              </w:rPr>
              <w:t>FY’26</w:t>
            </w:r>
          </w:p>
        </w:tc>
        <w:tc>
          <w:tcPr>
            <w:tcW w:w="1486" w:type="dxa"/>
            <w:tcBorders/>
            <w:vAlign w:val="center"/>
          </w:tcPr>
          <w:p>
            <w:pPr>
              <w:pStyle w:val="TableContents"/>
              <w:bidi w:val="0"/>
              <w:spacing w:before="0" w:after="283"/>
              <w:jc w:val="center"/>
              <w:rPr/>
            </w:pPr>
            <w:r>
              <w:rPr>
                <w:rStyle w:val="StrongEmphasis"/>
              </w:rPr>
              <w:t>FY’25</w:t>
            </w:r>
          </w:p>
        </w:tc>
        <w:tc>
          <w:tcPr>
            <w:tcW w:w="1531" w:type="dxa"/>
            <w:tcBorders/>
            <w:vAlign w:val="center"/>
          </w:tcPr>
          <w:p>
            <w:pPr>
              <w:pStyle w:val="TableContents"/>
              <w:bidi w:val="0"/>
              <w:spacing w:before="0" w:after="283"/>
              <w:jc w:val="center"/>
              <w:rPr/>
            </w:pPr>
            <w:r>
              <w:rPr>
                <w:rStyle w:val="StrongEmphasis"/>
              </w:rPr>
              <w:t>Y/Y Change</w:t>
            </w:r>
          </w:p>
        </w:tc>
      </w:tr>
      <w:tr>
        <w:trPr/>
        <w:tc>
          <w:tcPr>
            <w:tcW w:w="4186" w:type="dxa"/>
            <w:tcBorders/>
            <w:vAlign w:val="center"/>
          </w:tcPr>
          <w:p>
            <w:pPr>
              <w:pStyle w:val="TableContents"/>
              <w:bidi w:val="0"/>
              <w:spacing w:before="0" w:after="283"/>
              <w:jc w:val="left"/>
              <w:rPr/>
            </w:pPr>
            <w:r>
              <w:rPr/>
              <w:t>Annual Recurring Revenue (ARR)</w:t>
            </w:r>
            <w:r>
              <w:rPr>
                <w:position w:val="8"/>
                <w:sz w:val="19"/>
              </w:rPr>
              <w:t>1</w:t>
            </w:r>
          </w:p>
        </w:tc>
        <w:tc>
          <w:tcPr>
            <w:tcW w:w="1486" w:type="dxa"/>
            <w:tcBorders/>
            <w:vAlign w:val="center"/>
          </w:tcPr>
          <w:p>
            <w:pPr>
              <w:pStyle w:val="TableContents"/>
              <w:bidi w:val="0"/>
              <w:spacing w:before="0" w:after="283"/>
              <w:jc w:val="center"/>
              <w:rPr/>
            </w:pPr>
            <w:r>
              <w:rPr/>
              <w:t>$2.55 billion</w:t>
            </w:r>
          </w:p>
        </w:tc>
        <w:tc>
          <w:tcPr>
            <w:tcW w:w="1486" w:type="dxa"/>
            <w:tcBorders/>
            <w:vAlign w:val="center"/>
          </w:tcPr>
          <w:p>
            <w:pPr>
              <w:pStyle w:val="TableContents"/>
              <w:bidi w:val="0"/>
              <w:spacing w:before="0" w:after="283"/>
              <w:jc w:val="center"/>
              <w:rPr/>
            </w:pPr>
            <w:r>
              <w:rPr/>
              <w:t>$2.20 billion</w:t>
            </w:r>
          </w:p>
        </w:tc>
        <w:tc>
          <w:tcPr>
            <w:tcW w:w="1531" w:type="dxa"/>
            <w:tcBorders/>
            <w:vAlign w:val="center"/>
          </w:tcPr>
          <w:p>
            <w:pPr>
              <w:pStyle w:val="TableContents"/>
              <w:bidi w:val="0"/>
              <w:spacing w:before="0" w:after="283"/>
              <w:jc w:val="center"/>
              <w:rPr/>
            </w:pPr>
            <w:r>
              <w:rPr/>
              <w:t>16%</w:t>
            </w:r>
          </w:p>
        </w:tc>
      </w:tr>
      <w:tr>
        <w:trPr/>
        <w:tc>
          <w:tcPr>
            <w:tcW w:w="4186" w:type="dxa"/>
            <w:tcBorders/>
            <w:vAlign w:val="center"/>
          </w:tcPr>
          <w:p>
            <w:pPr>
              <w:pStyle w:val="TableContents"/>
              <w:bidi w:val="0"/>
              <w:spacing w:before="0" w:after="283"/>
              <w:jc w:val="left"/>
              <w:rPr/>
            </w:pPr>
            <w:r>
              <w:rPr/>
              <w:t>Average Contract Duration</w:t>
            </w:r>
            <w:r>
              <w:rPr>
                <w:rStyle w:val="Emphasis"/>
                <w:position w:val="8"/>
                <w:sz w:val="19"/>
              </w:rPr>
              <w:t>2</w:t>
            </w:r>
          </w:p>
        </w:tc>
        <w:tc>
          <w:tcPr>
            <w:tcW w:w="1486" w:type="dxa"/>
            <w:tcBorders/>
            <w:vAlign w:val="center"/>
          </w:tcPr>
          <w:p>
            <w:pPr>
              <w:pStyle w:val="TableContents"/>
              <w:bidi w:val="0"/>
              <w:spacing w:before="0" w:after="283"/>
              <w:jc w:val="center"/>
              <w:rPr/>
            </w:pPr>
            <w:r>
              <w:rPr/>
              <w:t>3.2 years</w:t>
            </w:r>
          </w:p>
        </w:tc>
        <w:tc>
          <w:tcPr>
            <w:tcW w:w="1486" w:type="dxa"/>
            <w:tcBorders/>
            <w:vAlign w:val="center"/>
          </w:tcPr>
          <w:p>
            <w:pPr>
              <w:pStyle w:val="TableContents"/>
              <w:bidi w:val="0"/>
              <w:spacing w:before="0" w:after="283"/>
              <w:jc w:val="center"/>
              <w:rPr/>
            </w:pPr>
            <w:r>
              <w:rPr/>
              <w:t>3.1 years</w:t>
            </w:r>
          </w:p>
        </w:tc>
        <w:tc>
          <w:tcPr>
            <w:tcW w:w="1531" w:type="dxa"/>
            <w:tcBorders/>
            <w:vAlign w:val="center"/>
          </w:tcPr>
          <w:p>
            <w:pPr>
              <w:pStyle w:val="TableContents"/>
              <w:bidi w:val="0"/>
              <w:spacing w:before="0" w:after="283"/>
              <w:jc w:val="center"/>
              <w:rPr/>
            </w:pPr>
            <w:r>
              <w:rPr/>
              <w:t>0.1 years</w:t>
            </w:r>
          </w:p>
        </w:tc>
      </w:tr>
      <w:tr>
        <w:trPr/>
        <w:tc>
          <w:tcPr>
            <w:tcW w:w="4186" w:type="dxa"/>
            <w:tcBorders/>
            <w:vAlign w:val="center"/>
          </w:tcPr>
          <w:p>
            <w:pPr>
              <w:pStyle w:val="TableContents"/>
              <w:bidi w:val="0"/>
              <w:spacing w:before="0" w:after="283"/>
              <w:jc w:val="left"/>
              <w:rPr/>
            </w:pPr>
            <w:r>
              <w:rPr/>
              <w:t>Revenue</w:t>
            </w:r>
          </w:p>
        </w:tc>
        <w:tc>
          <w:tcPr>
            <w:tcW w:w="1486" w:type="dxa"/>
            <w:tcBorders/>
            <w:vAlign w:val="center"/>
          </w:tcPr>
          <w:p>
            <w:pPr>
              <w:pStyle w:val="TableContents"/>
              <w:bidi w:val="0"/>
              <w:spacing w:before="0" w:after="283"/>
              <w:jc w:val="center"/>
              <w:rPr/>
            </w:pPr>
            <w:r>
              <w:rPr/>
              <w:t>$2.85 billion</w:t>
            </w:r>
          </w:p>
        </w:tc>
        <w:tc>
          <w:tcPr>
            <w:tcW w:w="1486" w:type="dxa"/>
            <w:tcBorders/>
            <w:vAlign w:val="center"/>
          </w:tcPr>
          <w:p>
            <w:pPr>
              <w:pStyle w:val="TableContents"/>
              <w:bidi w:val="0"/>
              <w:spacing w:before="0" w:after="283"/>
              <w:jc w:val="center"/>
              <w:rPr/>
            </w:pPr>
            <w:r>
              <w:rPr/>
              <w:t>$2.54 billion</w:t>
            </w:r>
          </w:p>
        </w:tc>
        <w:tc>
          <w:tcPr>
            <w:tcW w:w="1531" w:type="dxa"/>
            <w:tcBorders/>
            <w:vAlign w:val="center"/>
          </w:tcPr>
          <w:p>
            <w:pPr>
              <w:pStyle w:val="TableContents"/>
              <w:bidi w:val="0"/>
              <w:spacing w:before="0" w:after="283"/>
              <w:jc w:val="center"/>
              <w:rPr/>
            </w:pPr>
            <w:r>
              <w:rPr/>
              <w:t>12%</w:t>
            </w:r>
          </w:p>
        </w:tc>
      </w:tr>
      <w:tr>
        <w:trPr/>
        <w:tc>
          <w:tcPr>
            <w:tcW w:w="4186" w:type="dxa"/>
            <w:tcBorders/>
            <w:vAlign w:val="center"/>
          </w:tcPr>
          <w:p>
            <w:pPr>
              <w:pStyle w:val="TableContents"/>
              <w:bidi w:val="0"/>
              <w:spacing w:before="0" w:after="283"/>
              <w:jc w:val="left"/>
              <w:rPr/>
            </w:pPr>
            <w:r>
              <w:rPr/>
              <w:t>GAAP Gross Margin</w:t>
            </w:r>
          </w:p>
        </w:tc>
        <w:tc>
          <w:tcPr>
            <w:tcW w:w="1486" w:type="dxa"/>
            <w:tcBorders/>
            <w:vAlign w:val="center"/>
          </w:tcPr>
          <w:p>
            <w:pPr>
              <w:pStyle w:val="TableContents"/>
              <w:bidi w:val="0"/>
              <w:spacing w:before="0" w:after="283"/>
              <w:jc w:val="center"/>
              <w:rPr/>
            </w:pPr>
            <w:r>
              <w:rPr/>
              <w:t>86.8%</w:t>
            </w:r>
          </w:p>
        </w:tc>
        <w:tc>
          <w:tcPr>
            <w:tcW w:w="1486" w:type="dxa"/>
            <w:tcBorders/>
            <w:vAlign w:val="center"/>
          </w:tcPr>
          <w:p>
            <w:pPr>
              <w:pStyle w:val="TableContents"/>
              <w:bidi w:val="0"/>
              <w:spacing w:before="0" w:after="283"/>
              <w:jc w:val="center"/>
              <w:rPr/>
            </w:pPr>
            <w:r>
              <w:rPr/>
              <w:t>86.8%</w:t>
            </w:r>
          </w:p>
        </w:tc>
        <w:tc>
          <w:tcPr>
            <w:tcW w:w="1531" w:type="dxa"/>
            <w:tcBorders/>
            <w:vAlign w:val="center"/>
          </w:tcPr>
          <w:p>
            <w:pPr>
              <w:pStyle w:val="TableContents"/>
              <w:bidi w:val="0"/>
              <w:spacing w:before="0" w:after="283"/>
              <w:jc w:val="center"/>
              <w:rPr/>
            </w:pPr>
            <w:r>
              <w:rPr/>
              <w:t>0 bps</w:t>
            </w:r>
          </w:p>
        </w:tc>
      </w:tr>
      <w:tr>
        <w:trPr/>
        <w:tc>
          <w:tcPr>
            <w:tcW w:w="4186" w:type="dxa"/>
            <w:tcBorders/>
            <w:vAlign w:val="center"/>
          </w:tcPr>
          <w:p>
            <w:pPr>
              <w:pStyle w:val="TableContents"/>
              <w:bidi w:val="0"/>
              <w:spacing w:before="0" w:after="283"/>
              <w:jc w:val="left"/>
              <w:rPr/>
            </w:pPr>
            <w:r>
              <w:rPr/>
              <w:t>Non-GAAP Gross Margin</w:t>
            </w:r>
          </w:p>
        </w:tc>
        <w:tc>
          <w:tcPr>
            <w:tcW w:w="1486" w:type="dxa"/>
            <w:tcBorders/>
            <w:vAlign w:val="center"/>
          </w:tcPr>
          <w:p>
            <w:pPr>
              <w:pStyle w:val="TableContents"/>
              <w:bidi w:val="0"/>
              <w:spacing w:before="0" w:after="283"/>
              <w:jc w:val="center"/>
              <w:rPr/>
            </w:pPr>
            <w:r>
              <w:rPr/>
              <w:t>88.0%</w:t>
            </w:r>
          </w:p>
        </w:tc>
        <w:tc>
          <w:tcPr>
            <w:tcW w:w="1486" w:type="dxa"/>
            <w:tcBorders/>
            <w:vAlign w:val="center"/>
          </w:tcPr>
          <w:p>
            <w:pPr>
              <w:pStyle w:val="TableContents"/>
              <w:bidi w:val="0"/>
              <w:spacing w:before="0" w:after="283"/>
              <w:jc w:val="center"/>
              <w:rPr/>
            </w:pPr>
            <w:r>
              <w:rPr/>
              <w:t>88.1%</w:t>
            </w:r>
          </w:p>
        </w:tc>
        <w:tc>
          <w:tcPr>
            <w:tcW w:w="1531" w:type="dxa"/>
            <w:tcBorders/>
            <w:vAlign w:val="center"/>
          </w:tcPr>
          <w:p>
            <w:pPr>
              <w:pStyle w:val="TableContents"/>
              <w:bidi w:val="0"/>
              <w:spacing w:before="0" w:after="283"/>
              <w:jc w:val="center"/>
              <w:rPr/>
            </w:pPr>
            <w:r>
              <w:rPr/>
              <w:t>(10) bps</w:t>
            </w:r>
          </w:p>
        </w:tc>
      </w:tr>
      <w:tr>
        <w:trPr/>
        <w:tc>
          <w:tcPr>
            <w:tcW w:w="4186" w:type="dxa"/>
            <w:tcBorders/>
            <w:vAlign w:val="center"/>
          </w:tcPr>
          <w:p>
            <w:pPr>
              <w:pStyle w:val="TableContents"/>
              <w:bidi w:val="0"/>
              <w:spacing w:before="0" w:after="283"/>
              <w:jc w:val="left"/>
              <w:rPr/>
            </w:pPr>
            <w:r>
              <w:rPr/>
              <w:t>GAAP Operating Expenses</w:t>
            </w:r>
          </w:p>
        </w:tc>
        <w:tc>
          <w:tcPr>
            <w:tcW w:w="1486" w:type="dxa"/>
            <w:tcBorders/>
            <w:vAlign w:val="center"/>
          </w:tcPr>
          <w:p>
            <w:pPr>
              <w:pStyle w:val="TableContents"/>
              <w:bidi w:val="0"/>
              <w:spacing w:before="0" w:after="283"/>
              <w:jc w:val="center"/>
              <w:rPr/>
            </w:pPr>
            <w:r>
              <w:rPr/>
              <w:t>$2.20 billion</w:t>
            </w:r>
          </w:p>
        </w:tc>
        <w:tc>
          <w:tcPr>
            <w:tcW w:w="1486" w:type="dxa"/>
            <w:tcBorders/>
            <w:vAlign w:val="center"/>
          </w:tcPr>
          <w:p>
            <w:pPr>
              <w:pStyle w:val="TableContents"/>
              <w:bidi w:val="0"/>
              <w:spacing w:before="0" w:after="283"/>
              <w:jc w:val="center"/>
              <w:rPr/>
            </w:pPr>
            <w:r>
              <w:rPr/>
              <w:t>$2.03 billion</w:t>
            </w:r>
          </w:p>
        </w:tc>
        <w:tc>
          <w:tcPr>
            <w:tcW w:w="1531" w:type="dxa"/>
            <w:tcBorders/>
            <w:vAlign w:val="center"/>
          </w:tcPr>
          <w:p>
            <w:pPr>
              <w:pStyle w:val="TableContents"/>
              <w:bidi w:val="0"/>
              <w:spacing w:before="0" w:after="283"/>
              <w:jc w:val="center"/>
              <w:rPr/>
            </w:pPr>
            <w:r>
              <w:rPr/>
              <w:t>8%</w:t>
            </w:r>
          </w:p>
        </w:tc>
      </w:tr>
      <w:tr>
        <w:trPr/>
        <w:tc>
          <w:tcPr>
            <w:tcW w:w="4186" w:type="dxa"/>
            <w:tcBorders/>
            <w:vAlign w:val="center"/>
          </w:tcPr>
          <w:p>
            <w:pPr>
              <w:pStyle w:val="TableContents"/>
              <w:bidi w:val="0"/>
              <w:spacing w:before="0" w:after="283"/>
              <w:jc w:val="left"/>
              <w:rPr/>
            </w:pPr>
            <w:r>
              <w:rPr/>
              <w:t>Non-GAAP Operating Expenses</w:t>
            </w:r>
          </w:p>
        </w:tc>
        <w:tc>
          <w:tcPr>
            <w:tcW w:w="1486" w:type="dxa"/>
            <w:tcBorders/>
            <w:vAlign w:val="center"/>
          </w:tcPr>
          <w:p>
            <w:pPr>
              <w:pStyle w:val="TableContents"/>
              <w:bidi w:val="0"/>
              <w:spacing w:before="0" w:after="283"/>
              <w:jc w:val="center"/>
              <w:rPr/>
            </w:pPr>
            <w:r>
              <w:rPr/>
              <w:t>$1.84 billion</w:t>
            </w:r>
          </w:p>
        </w:tc>
        <w:tc>
          <w:tcPr>
            <w:tcW w:w="1486" w:type="dxa"/>
            <w:tcBorders/>
            <w:vAlign w:val="center"/>
          </w:tcPr>
          <w:p>
            <w:pPr>
              <w:pStyle w:val="TableContents"/>
              <w:bidi w:val="0"/>
              <w:spacing w:before="0" w:after="283"/>
              <w:jc w:val="center"/>
              <w:rPr/>
            </w:pPr>
            <w:r>
              <w:rPr/>
              <w:t>$1.70 billion</w:t>
            </w:r>
          </w:p>
        </w:tc>
        <w:tc>
          <w:tcPr>
            <w:tcW w:w="1531" w:type="dxa"/>
            <w:tcBorders/>
            <w:vAlign w:val="center"/>
          </w:tcPr>
          <w:p>
            <w:pPr>
              <w:pStyle w:val="TableContents"/>
              <w:bidi w:val="0"/>
              <w:spacing w:before="0" w:after="283"/>
              <w:jc w:val="center"/>
              <w:rPr/>
            </w:pPr>
            <w:r>
              <w:rPr/>
              <w:t>8%</w:t>
            </w:r>
          </w:p>
        </w:tc>
      </w:tr>
      <w:tr>
        <w:trPr/>
        <w:tc>
          <w:tcPr>
            <w:tcW w:w="4186" w:type="dxa"/>
            <w:tcBorders/>
            <w:vAlign w:val="center"/>
          </w:tcPr>
          <w:p>
            <w:pPr>
              <w:pStyle w:val="TableContents"/>
              <w:bidi w:val="0"/>
              <w:spacing w:before="0" w:after="283"/>
              <w:jc w:val="left"/>
              <w:rPr/>
            </w:pPr>
            <w:r>
              <w:rPr/>
              <w:t>GAAP Operating Income</w:t>
            </w:r>
          </w:p>
        </w:tc>
        <w:tc>
          <w:tcPr>
            <w:tcW w:w="1486" w:type="dxa"/>
            <w:tcBorders/>
            <w:vAlign w:val="center"/>
          </w:tcPr>
          <w:p>
            <w:pPr>
              <w:pStyle w:val="TableContents"/>
              <w:bidi w:val="0"/>
              <w:spacing w:before="0" w:after="283"/>
              <w:jc w:val="center"/>
              <w:rPr/>
            </w:pPr>
            <w:r>
              <w:rPr/>
              <w:t>$274.0 million</w:t>
            </w:r>
          </w:p>
        </w:tc>
        <w:tc>
          <w:tcPr>
            <w:tcW w:w="1486" w:type="dxa"/>
            <w:tcBorders/>
            <w:vAlign w:val="center"/>
          </w:tcPr>
          <w:p>
            <w:pPr>
              <w:pStyle w:val="TableContents"/>
              <w:bidi w:val="0"/>
              <w:spacing w:before="0" w:after="283"/>
              <w:jc w:val="center"/>
              <w:rPr/>
            </w:pPr>
            <w:r>
              <w:rPr/>
              <w:t>$172.5 million</w:t>
            </w:r>
          </w:p>
        </w:tc>
        <w:tc>
          <w:tcPr>
            <w:tcW w:w="1531" w:type="dxa"/>
            <w:tcBorders/>
            <w:vAlign w:val="center"/>
          </w:tcPr>
          <w:p>
            <w:pPr>
              <w:pStyle w:val="TableContents"/>
              <w:bidi w:val="0"/>
              <w:spacing w:before="0" w:after="283"/>
              <w:jc w:val="center"/>
              <w:rPr/>
            </w:pPr>
            <w:r>
              <w:rPr/>
              <w:t>$101.5 million</w:t>
            </w:r>
          </w:p>
        </w:tc>
      </w:tr>
      <w:tr>
        <w:trPr/>
        <w:tc>
          <w:tcPr>
            <w:tcW w:w="4186" w:type="dxa"/>
            <w:tcBorders/>
            <w:vAlign w:val="center"/>
          </w:tcPr>
          <w:p>
            <w:pPr>
              <w:pStyle w:val="TableContents"/>
              <w:bidi w:val="0"/>
              <w:spacing w:before="0" w:after="283"/>
              <w:jc w:val="left"/>
              <w:rPr/>
            </w:pPr>
            <w:r>
              <w:rPr/>
              <w:t>Non-GAAP Operating Income</w:t>
            </w:r>
          </w:p>
        </w:tc>
        <w:tc>
          <w:tcPr>
            <w:tcW w:w="1486" w:type="dxa"/>
            <w:tcBorders/>
            <w:vAlign w:val="center"/>
          </w:tcPr>
          <w:p>
            <w:pPr>
              <w:pStyle w:val="TableContents"/>
              <w:bidi w:val="0"/>
              <w:spacing w:before="0" w:after="283"/>
              <w:jc w:val="center"/>
              <w:rPr/>
            </w:pPr>
            <w:r>
              <w:rPr/>
              <w:t>$675.4 million</w:t>
            </w:r>
          </w:p>
        </w:tc>
        <w:tc>
          <w:tcPr>
            <w:tcW w:w="1486" w:type="dxa"/>
            <w:tcBorders/>
            <w:vAlign w:val="center"/>
          </w:tcPr>
          <w:p>
            <w:pPr>
              <w:pStyle w:val="TableContents"/>
              <w:bidi w:val="0"/>
              <w:spacing w:before="0" w:after="283"/>
              <w:jc w:val="center"/>
              <w:rPr/>
            </w:pPr>
            <w:r>
              <w:rPr/>
              <w:t>$536.1 million</w:t>
            </w:r>
          </w:p>
        </w:tc>
        <w:tc>
          <w:tcPr>
            <w:tcW w:w="1531" w:type="dxa"/>
            <w:tcBorders/>
            <w:vAlign w:val="center"/>
          </w:tcPr>
          <w:p>
            <w:pPr>
              <w:pStyle w:val="TableContents"/>
              <w:bidi w:val="0"/>
              <w:spacing w:before="0" w:after="283"/>
              <w:jc w:val="center"/>
              <w:rPr/>
            </w:pPr>
            <w:r>
              <w:rPr/>
              <w:t>$139.3 million</w:t>
            </w:r>
          </w:p>
        </w:tc>
      </w:tr>
      <w:tr>
        <w:trPr/>
        <w:tc>
          <w:tcPr>
            <w:tcW w:w="4186" w:type="dxa"/>
            <w:tcBorders/>
            <w:vAlign w:val="center"/>
          </w:tcPr>
          <w:p>
            <w:pPr>
              <w:pStyle w:val="TableContents"/>
              <w:bidi w:val="0"/>
              <w:spacing w:before="0" w:after="283"/>
              <w:jc w:val="left"/>
              <w:rPr/>
            </w:pPr>
            <w:r>
              <w:rPr/>
              <w:t>GAAP Operating Margin</w:t>
            </w:r>
          </w:p>
        </w:tc>
        <w:tc>
          <w:tcPr>
            <w:tcW w:w="1486" w:type="dxa"/>
            <w:tcBorders/>
            <w:vAlign w:val="center"/>
          </w:tcPr>
          <w:p>
            <w:pPr>
              <w:pStyle w:val="TableContents"/>
              <w:bidi w:val="0"/>
              <w:spacing w:before="0" w:after="283"/>
              <w:jc w:val="center"/>
              <w:rPr/>
            </w:pPr>
            <w:r>
              <w:rPr/>
              <w:t>9.6%</w:t>
            </w:r>
          </w:p>
        </w:tc>
        <w:tc>
          <w:tcPr>
            <w:tcW w:w="1486" w:type="dxa"/>
            <w:tcBorders/>
            <w:vAlign w:val="center"/>
          </w:tcPr>
          <w:p>
            <w:pPr>
              <w:pStyle w:val="TableContents"/>
              <w:bidi w:val="0"/>
              <w:spacing w:before="0" w:after="283"/>
              <w:jc w:val="center"/>
              <w:rPr/>
            </w:pPr>
            <w:r>
              <w:rPr/>
              <w:t>6.8%</w:t>
            </w:r>
          </w:p>
        </w:tc>
        <w:tc>
          <w:tcPr>
            <w:tcW w:w="1531" w:type="dxa"/>
            <w:tcBorders/>
            <w:vAlign w:val="center"/>
          </w:tcPr>
          <w:p>
            <w:pPr>
              <w:pStyle w:val="TableContents"/>
              <w:bidi w:val="0"/>
              <w:spacing w:before="0" w:after="283"/>
              <w:jc w:val="center"/>
              <w:rPr/>
            </w:pPr>
            <w:r>
              <w:rPr/>
              <w:t>280 bps</w:t>
            </w:r>
          </w:p>
        </w:tc>
      </w:tr>
      <w:tr>
        <w:trPr/>
        <w:tc>
          <w:tcPr>
            <w:tcW w:w="4186" w:type="dxa"/>
            <w:tcBorders/>
            <w:vAlign w:val="center"/>
          </w:tcPr>
          <w:p>
            <w:pPr>
              <w:pStyle w:val="TableContents"/>
              <w:bidi w:val="0"/>
              <w:spacing w:before="0" w:after="283"/>
              <w:jc w:val="left"/>
              <w:rPr/>
            </w:pPr>
            <w:r>
              <w:rPr/>
              <w:t>Non-GAAP Operating Margin</w:t>
            </w:r>
          </w:p>
        </w:tc>
        <w:tc>
          <w:tcPr>
            <w:tcW w:w="1486" w:type="dxa"/>
            <w:tcBorders/>
            <w:vAlign w:val="center"/>
          </w:tcPr>
          <w:p>
            <w:pPr>
              <w:pStyle w:val="TableContents"/>
              <w:bidi w:val="0"/>
              <w:spacing w:before="0" w:after="283"/>
              <w:jc w:val="center"/>
              <w:rPr/>
            </w:pPr>
            <w:r>
              <w:rPr/>
              <w:t>23.7%</w:t>
            </w:r>
          </w:p>
        </w:tc>
        <w:tc>
          <w:tcPr>
            <w:tcW w:w="1486" w:type="dxa"/>
            <w:tcBorders/>
            <w:vAlign w:val="center"/>
          </w:tcPr>
          <w:p>
            <w:pPr>
              <w:pStyle w:val="TableContents"/>
              <w:bidi w:val="0"/>
              <w:spacing w:before="0" w:after="283"/>
              <w:jc w:val="center"/>
              <w:rPr/>
            </w:pPr>
            <w:r>
              <w:rPr/>
              <w:t>21.1%</w:t>
            </w:r>
          </w:p>
        </w:tc>
        <w:tc>
          <w:tcPr>
            <w:tcW w:w="1531" w:type="dxa"/>
            <w:tcBorders/>
            <w:vAlign w:val="center"/>
          </w:tcPr>
          <w:p>
            <w:pPr>
              <w:pStyle w:val="TableContents"/>
              <w:bidi w:val="0"/>
              <w:spacing w:before="0" w:after="283"/>
              <w:jc w:val="center"/>
              <w:rPr/>
            </w:pPr>
            <w:r>
              <w:rPr/>
              <w:t>260 bps</w:t>
            </w:r>
          </w:p>
        </w:tc>
      </w:tr>
      <w:tr>
        <w:trPr/>
        <w:tc>
          <w:tcPr>
            <w:tcW w:w="4186" w:type="dxa"/>
            <w:tcBorders/>
            <w:vAlign w:val="center"/>
          </w:tcPr>
          <w:p>
            <w:pPr>
              <w:pStyle w:val="TableContents"/>
              <w:bidi w:val="0"/>
              <w:spacing w:before="0" w:after="283"/>
              <w:jc w:val="left"/>
              <w:rPr/>
            </w:pPr>
            <w:r>
              <w:rPr/>
              <w:t>Net Cash Provided by Operating Activities</w:t>
            </w:r>
          </w:p>
        </w:tc>
        <w:tc>
          <w:tcPr>
            <w:tcW w:w="1486" w:type="dxa"/>
            <w:tcBorders/>
            <w:vAlign w:val="center"/>
          </w:tcPr>
          <w:p>
            <w:pPr>
              <w:pStyle w:val="TableContents"/>
              <w:bidi w:val="0"/>
              <w:spacing w:before="0" w:after="283"/>
              <w:jc w:val="center"/>
              <w:rPr/>
            </w:pPr>
            <w:r>
              <w:rPr/>
              <w:t>$916.7 million</w:t>
            </w:r>
          </w:p>
        </w:tc>
        <w:tc>
          <w:tcPr>
            <w:tcW w:w="1486" w:type="dxa"/>
            <w:tcBorders/>
            <w:vAlign w:val="center"/>
          </w:tcPr>
          <w:p>
            <w:pPr>
              <w:pStyle w:val="TableContents"/>
              <w:bidi w:val="0"/>
              <w:spacing w:before="0" w:after="283"/>
              <w:jc w:val="center"/>
              <w:rPr/>
            </w:pPr>
            <w:r>
              <w:rPr/>
              <w:t>$821.5 million</w:t>
            </w:r>
          </w:p>
        </w:tc>
        <w:tc>
          <w:tcPr>
            <w:tcW w:w="1531" w:type="dxa"/>
            <w:tcBorders/>
            <w:vAlign w:val="center"/>
          </w:tcPr>
          <w:p>
            <w:pPr>
              <w:pStyle w:val="TableContents"/>
              <w:bidi w:val="0"/>
              <w:spacing w:before="0" w:after="283"/>
              <w:jc w:val="center"/>
              <w:rPr/>
            </w:pPr>
            <w:r>
              <w:rPr/>
              <w:t>$95.2 million</w:t>
            </w:r>
          </w:p>
        </w:tc>
      </w:tr>
      <w:tr>
        <w:trPr/>
        <w:tc>
          <w:tcPr>
            <w:tcW w:w="4186" w:type="dxa"/>
            <w:tcBorders/>
            <w:vAlign w:val="center"/>
          </w:tcPr>
          <w:p>
            <w:pPr>
              <w:pStyle w:val="TableContents"/>
              <w:bidi w:val="0"/>
              <w:spacing w:before="0" w:after="283"/>
              <w:jc w:val="left"/>
              <w:rPr/>
            </w:pPr>
            <w:r>
              <w:rPr/>
              <w:t>Free Cash Flow</w:t>
            </w:r>
          </w:p>
        </w:tc>
        <w:tc>
          <w:tcPr>
            <w:tcW w:w="1486" w:type="dxa"/>
            <w:tcBorders/>
            <w:vAlign w:val="center"/>
          </w:tcPr>
          <w:p>
            <w:pPr>
              <w:pStyle w:val="TableContents"/>
              <w:bidi w:val="0"/>
              <w:spacing w:before="0" w:after="283"/>
              <w:jc w:val="center"/>
              <w:rPr/>
            </w:pPr>
            <w:r>
              <w:rPr/>
              <w:t>$840.7 million</w:t>
            </w:r>
          </w:p>
        </w:tc>
        <w:tc>
          <w:tcPr>
            <w:tcW w:w="1486" w:type="dxa"/>
            <w:tcBorders/>
            <w:vAlign w:val="center"/>
          </w:tcPr>
          <w:p>
            <w:pPr>
              <w:pStyle w:val="TableContents"/>
              <w:bidi w:val="0"/>
              <w:spacing w:before="0" w:after="283"/>
              <w:jc w:val="center"/>
              <w:rPr/>
            </w:pPr>
            <w:r>
              <w:rPr/>
              <w:t>$750.2 million</w:t>
            </w:r>
          </w:p>
        </w:tc>
        <w:tc>
          <w:tcPr>
            <w:tcW w:w="1531" w:type="dxa"/>
            <w:tcBorders/>
            <w:vAlign w:val="center"/>
          </w:tcPr>
          <w:p>
            <w:pPr>
              <w:pStyle w:val="TableContents"/>
              <w:bidi w:val="0"/>
              <w:spacing w:before="0" w:after="283"/>
              <w:jc w:val="center"/>
              <w:rPr/>
            </w:pPr>
            <w:r>
              <w:rPr/>
              <w:t>$90.5 million</w:t>
            </w:r>
          </w:p>
        </w:tc>
      </w:tr>
    </w:tbl>
    <w:p>
      <w:pPr>
        <w:pStyle w:val="TextBody"/>
        <w:bidi w:val="0"/>
        <w:spacing w:before="0" w:after="283"/>
        <w:jc w:val="left"/>
        <w:rPr/>
      </w:pPr>
      <w:r>
        <w:rPr/>
      </w:r>
    </w:p>
    <w:p>
      <w:pPr>
        <w:pStyle w:val="TextBody"/>
        <w:bidi w:val="0"/>
        <w:spacing w:before="0" w:after="283"/>
        <w:jc w:val="left"/>
        <w:rPr/>
      </w:pPr>
      <w:r>
        <w:rPr/>
        <w:t>Reconciliations between GAAP and non-GAAP financial measures and key performance measures, to the extent available, are provided in the tables of this press release.</w:t>
      </w:r>
    </w:p>
    <w:p>
      <w:pPr>
        <w:pStyle w:val="TextBody"/>
        <w:bidi w:val="0"/>
        <w:spacing w:before="0" w:after="283"/>
        <w:jc w:val="left"/>
        <w:rPr/>
      </w:pPr>
      <w:r>
        <w:rPr>
          <w:rStyle w:val="StrongEmphasis"/>
        </w:rPr>
        <w:t>Recent Company Highlights</w:t>
      </w:r>
    </w:p>
    <w:p>
      <w:pPr>
        <w:pStyle w:val="TextBody"/>
        <w:numPr>
          <w:ilvl w:val="0"/>
          <w:numId w:val="2"/>
        </w:numPr>
        <w:tabs>
          <w:tab w:val="clear" w:pos="1134"/>
          <w:tab w:val="left" w:pos="709" w:leader="none"/>
        </w:tabs>
        <w:bidi w:val="0"/>
        <w:spacing w:before="0" w:after="0"/>
        <w:ind w:left="709" w:hanging="283"/>
        <w:jc w:val="left"/>
        <w:rPr/>
      </w:pPr>
      <w:r>
        <w:rPr/>
        <w:t>Nutanix Announces the Model Context Protocol (MCP) Server for Nutanix Cloud Platform (NCP): Nutanix announced the launch of its MCP server for NCP, bringing secure, natural-language, agentic AI automation to hybrid cloud environments without sacrificing control.</w:t>
      </w:r>
    </w:p>
    <w:p>
      <w:pPr>
        <w:pStyle w:val="TextBody"/>
        <w:numPr>
          <w:ilvl w:val="0"/>
          <w:numId w:val="2"/>
        </w:numPr>
        <w:tabs>
          <w:tab w:val="clear" w:pos="1134"/>
          <w:tab w:val="left" w:pos="709" w:leader="none"/>
        </w:tabs>
        <w:bidi w:val="0"/>
        <w:spacing w:before="0" w:after="0"/>
        <w:ind w:left="709" w:hanging="283"/>
        <w:jc w:val="left"/>
        <w:rPr/>
      </w:pPr>
      <w:r>
        <w:rPr/>
        <w:t>Nutanix Announces Availability of Dell PowerStore: Nutanix announced that Dell Private Cloud with PowerStore for NCP is now available with Nutanix Cloud Infrastructure (NCI) 7.6.</w:t>
      </w:r>
    </w:p>
    <w:p>
      <w:pPr>
        <w:pStyle w:val="TextBody"/>
        <w:numPr>
          <w:ilvl w:val="0"/>
          <w:numId w:val="2"/>
        </w:numPr>
        <w:tabs>
          <w:tab w:val="clear" w:pos="1134"/>
          <w:tab w:val="left" w:pos="709" w:leader="none"/>
        </w:tabs>
        <w:bidi w:val="0"/>
        <w:spacing w:before="0" w:after="0"/>
        <w:ind w:left="709" w:hanging="283"/>
        <w:jc w:val="left"/>
        <w:rPr/>
      </w:pPr>
      <w:r>
        <w:rPr/>
        <w:t>Nutanix Unveils New Regulated Industry Data from Its Eighth Annual Enterprise Cloud Index (ECI) Survey: Nutanix unveiled new regulated industry data from its eighth annual ECI survey shared earlier this year, which showed that Healthcare, Financial Services, and Public Sector industries face the greatest risks in shadow AI, data sovereignty, compliance, and organizational silos.</w:t>
      </w:r>
    </w:p>
    <w:p>
      <w:pPr>
        <w:pStyle w:val="TextBody"/>
        <w:numPr>
          <w:ilvl w:val="0"/>
          <w:numId w:val="2"/>
        </w:numPr>
        <w:tabs>
          <w:tab w:val="clear" w:pos="1134"/>
          <w:tab w:val="left" w:pos="709" w:leader="none"/>
        </w:tabs>
        <w:bidi w:val="0"/>
        <w:spacing w:before="0" w:after="0"/>
        <w:ind w:left="709" w:hanging="283"/>
        <w:jc w:val="left"/>
        <w:rPr/>
      </w:pPr>
      <w:r>
        <w:rPr/>
        <w:t>Nutanix and ChronoScale Announce Strategic Partnership to Accelerate Enterprise AI Adoption: Nutanix and ChronoScale announced a strategic partnership to jointly deliver enterprise-ready AI infrastructure and help accelerate adoption of AI servers across global markets.</w:t>
      </w:r>
    </w:p>
    <w:p>
      <w:pPr>
        <w:pStyle w:val="TextBody"/>
        <w:numPr>
          <w:ilvl w:val="0"/>
          <w:numId w:val="2"/>
        </w:numPr>
        <w:tabs>
          <w:tab w:val="clear" w:pos="1134"/>
          <w:tab w:val="left" w:pos="709" w:leader="none"/>
        </w:tabs>
        <w:bidi w:val="0"/>
        <w:ind w:left="709" w:hanging="283"/>
        <w:jc w:val="left"/>
        <w:rPr/>
      </w:pPr>
      <w:r>
        <w:rPr/>
        <w:t>Nutanix Gives Enterprises the Freedom to Run Production Agentic AI Their Way: Nutanix announced the general availability of Nutanix Enterprise AI (NAI) 2.8, and the upcoming general availability of Nutanix Kubernetes Platform (NKP) 2.19, along with new incentives, programs, and resources designed to help partners accelerate growth on emerging AI opportunities.</w:t>
      </w:r>
    </w:p>
    <w:p>
      <w:pPr>
        <w:pStyle w:val="TextBody"/>
        <w:bidi w:val="0"/>
        <w:spacing w:before="0" w:after="283"/>
        <w:jc w:val="left"/>
        <w:rPr/>
      </w:pPr>
      <w:r>
        <w:rPr>
          <w:rStyle w:val="StrongEmphasis"/>
        </w:rPr>
        <w:t>First Quarter Fiscal 2027 Outlook</w:t>
      </w:r>
    </w:p>
    <w:tbl>
      <w:tblPr>
        <w:tblW w:w="7547" w:type="dxa"/>
        <w:jc w:val="left"/>
        <w:tblInd w:w="0" w:type="dxa"/>
        <w:tblLayout w:type="fixed"/>
        <w:tblCellMar>
          <w:top w:w="28" w:type="dxa"/>
          <w:left w:w="28" w:type="dxa"/>
          <w:bottom w:w="28" w:type="dxa"/>
          <w:right w:w="28" w:type="dxa"/>
        </w:tblCellMar>
      </w:tblPr>
      <w:tblGrid>
        <w:gridCol w:w="4831"/>
        <w:gridCol w:w="2716"/>
      </w:tblGrid>
      <w:tr>
        <w:trPr/>
        <w:tc>
          <w:tcPr>
            <w:tcW w:w="4831" w:type="dxa"/>
            <w:tcBorders/>
            <w:vAlign w:val="center"/>
          </w:tcPr>
          <w:p>
            <w:pPr>
              <w:pStyle w:val="TableContents"/>
              <w:bidi w:val="0"/>
              <w:spacing w:before="0" w:after="283"/>
              <w:jc w:val="left"/>
              <w:rPr/>
            </w:pPr>
            <w:r>
              <w:rPr/>
              <w:t> </w:t>
            </w:r>
          </w:p>
        </w:tc>
        <w:tc>
          <w:tcPr>
            <w:tcW w:w="2716" w:type="dxa"/>
            <w:tcBorders/>
            <w:vAlign w:val="center"/>
          </w:tcPr>
          <w:p>
            <w:pPr>
              <w:pStyle w:val="TableContents"/>
              <w:bidi w:val="0"/>
              <w:spacing w:before="0" w:after="283"/>
              <w:jc w:val="center"/>
              <w:rPr/>
            </w:pPr>
            <w:r>
              <w:rPr/>
              <w:t> </w:t>
            </w:r>
          </w:p>
        </w:tc>
      </w:tr>
      <w:tr>
        <w:trPr/>
        <w:tc>
          <w:tcPr>
            <w:tcW w:w="4831" w:type="dxa"/>
            <w:tcBorders/>
            <w:vAlign w:val="center"/>
          </w:tcPr>
          <w:p>
            <w:pPr>
              <w:pStyle w:val="TableContents"/>
              <w:bidi w:val="0"/>
              <w:spacing w:before="0" w:after="283"/>
              <w:jc w:val="left"/>
              <w:rPr/>
            </w:pPr>
            <w:r>
              <w:rPr/>
              <w:t>Revenue</w:t>
            </w:r>
          </w:p>
        </w:tc>
        <w:tc>
          <w:tcPr>
            <w:tcW w:w="2716" w:type="dxa"/>
            <w:tcBorders/>
            <w:vAlign w:val="center"/>
          </w:tcPr>
          <w:p>
            <w:pPr>
              <w:pStyle w:val="TableContents"/>
              <w:bidi w:val="0"/>
              <w:spacing w:before="0" w:after="283"/>
              <w:jc w:val="right"/>
              <w:rPr/>
            </w:pPr>
            <w:r>
              <w:rPr/>
              <w:t>$755 - $765 million</w:t>
            </w:r>
          </w:p>
        </w:tc>
      </w:tr>
      <w:tr>
        <w:trPr/>
        <w:tc>
          <w:tcPr>
            <w:tcW w:w="4831" w:type="dxa"/>
            <w:tcBorders/>
            <w:vAlign w:val="center"/>
          </w:tcPr>
          <w:p>
            <w:pPr>
              <w:pStyle w:val="TableContents"/>
              <w:bidi w:val="0"/>
              <w:spacing w:before="0" w:after="283"/>
              <w:jc w:val="left"/>
              <w:rPr/>
            </w:pPr>
            <w:r>
              <w:rPr/>
              <w:t>Non-GAAP Operating Margin</w:t>
            </w:r>
          </w:p>
        </w:tc>
        <w:tc>
          <w:tcPr>
            <w:tcW w:w="2716" w:type="dxa"/>
            <w:tcBorders/>
            <w:vAlign w:val="center"/>
          </w:tcPr>
          <w:p>
            <w:pPr>
              <w:pStyle w:val="TableContents"/>
              <w:bidi w:val="0"/>
              <w:spacing w:before="0" w:after="283"/>
              <w:jc w:val="right"/>
              <w:rPr/>
            </w:pPr>
            <w:r>
              <w:rPr/>
              <w:t>26% to 28%</w:t>
            </w:r>
          </w:p>
        </w:tc>
      </w:tr>
      <w:tr>
        <w:trPr/>
        <w:tc>
          <w:tcPr>
            <w:tcW w:w="4831" w:type="dxa"/>
            <w:tcBorders/>
            <w:vAlign w:val="center"/>
          </w:tcPr>
          <w:p>
            <w:pPr>
              <w:pStyle w:val="TableContents"/>
              <w:bidi w:val="0"/>
              <w:spacing w:before="0" w:after="283"/>
              <w:jc w:val="left"/>
              <w:rPr/>
            </w:pPr>
            <w:r>
              <w:rPr/>
              <w:t>Weighted Average Shares Outstanding (Diluted)</w:t>
            </w:r>
            <w:r>
              <w:rPr>
                <w:position w:val="8"/>
                <w:sz w:val="19"/>
              </w:rPr>
              <w:t>3</w:t>
            </w:r>
          </w:p>
        </w:tc>
        <w:tc>
          <w:tcPr>
            <w:tcW w:w="2716" w:type="dxa"/>
            <w:tcBorders/>
            <w:vAlign w:val="center"/>
          </w:tcPr>
          <w:p>
            <w:pPr>
              <w:pStyle w:val="TableContents"/>
              <w:bidi w:val="0"/>
              <w:spacing w:before="0" w:after="283"/>
              <w:jc w:val="right"/>
              <w:rPr/>
            </w:pPr>
            <w:r>
              <w:rPr/>
              <w:t>Approximately 294 million</w:t>
            </w:r>
          </w:p>
        </w:tc>
      </w:tr>
    </w:tbl>
    <w:p>
      <w:pPr>
        <w:pStyle w:val="TextBody"/>
        <w:bidi w:val="0"/>
        <w:spacing w:before="0" w:after="283"/>
        <w:jc w:val="left"/>
        <w:rPr>
          <w:rStyle w:val="StrongEmphasis"/>
        </w:rPr>
      </w:pPr>
      <w:r>
        <w:rPr/>
      </w:r>
    </w:p>
    <w:p>
      <w:pPr>
        <w:pStyle w:val="TextBody"/>
        <w:bidi w:val="0"/>
        <w:spacing w:before="0" w:after="283"/>
        <w:jc w:val="left"/>
        <w:rPr/>
      </w:pPr>
      <w:r>
        <w:rPr>
          <w:rStyle w:val="StrongEmphasis"/>
        </w:rPr>
        <w:t>Fiscal 2027 Outlook</w:t>
      </w:r>
    </w:p>
    <w:tbl>
      <w:tblPr>
        <w:tblW w:w="5372" w:type="dxa"/>
        <w:jc w:val="left"/>
        <w:tblInd w:w="0" w:type="dxa"/>
        <w:tblLayout w:type="fixed"/>
        <w:tblCellMar>
          <w:top w:w="28" w:type="dxa"/>
          <w:left w:w="28" w:type="dxa"/>
          <w:bottom w:w="28" w:type="dxa"/>
          <w:right w:w="28" w:type="dxa"/>
        </w:tblCellMar>
      </w:tblPr>
      <w:tblGrid>
        <w:gridCol w:w="3046"/>
        <w:gridCol w:w="2326"/>
      </w:tblGrid>
      <w:tr>
        <w:trPr/>
        <w:tc>
          <w:tcPr>
            <w:tcW w:w="3046" w:type="dxa"/>
            <w:tcBorders/>
            <w:vAlign w:val="center"/>
          </w:tcPr>
          <w:p>
            <w:pPr>
              <w:pStyle w:val="TableContents"/>
              <w:bidi w:val="0"/>
              <w:spacing w:before="0" w:after="283"/>
              <w:jc w:val="left"/>
              <w:rPr/>
            </w:pPr>
            <w:r>
              <w:rPr/>
              <w:t> </w:t>
            </w:r>
          </w:p>
        </w:tc>
        <w:tc>
          <w:tcPr>
            <w:tcW w:w="2326" w:type="dxa"/>
            <w:tcBorders/>
            <w:vAlign w:val="center"/>
          </w:tcPr>
          <w:p>
            <w:pPr>
              <w:pStyle w:val="TableContents"/>
              <w:bidi w:val="0"/>
              <w:spacing w:before="0" w:after="283"/>
              <w:jc w:val="center"/>
              <w:rPr/>
            </w:pPr>
            <w:r>
              <w:rPr/>
              <w:t> </w:t>
            </w:r>
          </w:p>
        </w:tc>
      </w:tr>
      <w:tr>
        <w:trPr/>
        <w:tc>
          <w:tcPr>
            <w:tcW w:w="3046" w:type="dxa"/>
            <w:tcBorders/>
            <w:vAlign w:val="center"/>
          </w:tcPr>
          <w:p>
            <w:pPr>
              <w:pStyle w:val="TableContents"/>
              <w:bidi w:val="0"/>
              <w:spacing w:before="0" w:after="283"/>
              <w:jc w:val="left"/>
              <w:rPr/>
            </w:pPr>
            <w:r>
              <w:rPr/>
              <w:t>Revenue</w:t>
            </w:r>
          </w:p>
        </w:tc>
        <w:tc>
          <w:tcPr>
            <w:tcW w:w="2326" w:type="dxa"/>
            <w:tcBorders/>
            <w:vAlign w:val="center"/>
          </w:tcPr>
          <w:p>
            <w:pPr>
              <w:pStyle w:val="TableContents"/>
              <w:bidi w:val="0"/>
              <w:spacing w:before="0" w:after="283"/>
              <w:jc w:val="right"/>
              <w:rPr/>
            </w:pPr>
            <w:r>
              <w:rPr/>
              <w:t>$3.180 - $3.230 billion</w:t>
            </w:r>
          </w:p>
        </w:tc>
      </w:tr>
      <w:tr>
        <w:trPr/>
        <w:tc>
          <w:tcPr>
            <w:tcW w:w="3046" w:type="dxa"/>
            <w:tcBorders/>
            <w:vAlign w:val="center"/>
          </w:tcPr>
          <w:p>
            <w:pPr>
              <w:pStyle w:val="TableContents"/>
              <w:bidi w:val="0"/>
              <w:spacing w:before="0" w:after="283"/>
              <w:jc w:val="left"/>
              <w:rPr/>
            </w:pPr>
            <w:r>
              <w:rPr/>
              <w:t>Non-GAAP Operating Margin</w:t>
            </w:r>
          </w:p>
        </w:tc>
        <w:tc>
          <w:tcPr>
            <w:tcW w:w="2326" w:type="dxa"/>
            <w:tcBorders/>
            <w:vAlign w:val="center"/>
          </w:tcPr>
          <w:p>
            <w:pPr>
              <w:pStyle w:val="TableContents"/>
              <w:bidi w:val="0"/>
              <w:spacing w:before="0" w:after="283"/>
              <w:jc w:val="right"/>
              <w:rPr/>
            </w:pPr>
            <w:r>
              <w:rPr/>
              <w:t>24% to 25%</w:t>
            </w:r>
          </w:p>
        </w:tc>
      </w:tr>
      <w:tr>
        <w:trPr/>
        <w:tc>
          <w:tcPr>
            <w:tcW w:w="3046" w:type="dxa"/>
            <w:tcBorders/>
            <w:vAlign w:val="center"/>
          </w:tcPr>
          <w:p>
            <w:pPr>
              <w:pStyle w:val="TableContents"/>
              <w:bidi w:val="0"/>
              <w:spacing w:before="0" w:after="283"/>
              <w:jc w:val="left"/>
              <w:rPr/>
            </w:pPr>
            <w:r>
              <w:rPr/>
              <w:t>Free Cash Flow</w:t>
            </w:r>
          </w:p>
        </w:tc>
        <w:tc>
          <w:tcPr>
            <w:tcW w:w="2326" w:type="dxa"/>
            <w:tcBorders/>
            <w:vAlign w:val="center"/>
          </w:tcPr>
          <w:p>
            <w:pPr>
              <w:pStyle w:val="TableContents"/>
              <w:bidi w:val="0"/>
              <w:spacing w:before="0" w:after="283"/>
              <w:jc w:val="right"/>
              <w:rPr/>
            </w:pPr>
            <w:r>
              <w:rPr/>
              <w:t>$850 - $950 million</w:t>
            </w:r>
          </w:p>
        </w:tc>
      </w:tr>
    </w:tbl>
    <w:p>
      <w:pPr>
        <w:pStyle w:val="TextBody"/>
        <w:bidi w:val="0"/>
        <w:spacing w:before="0" w:after="283"/>
        <w:jc w:val="left"/>
        <w:rPr/>
      </w:pPr>
      <w:r>
        <w:rPr/>
      </w:r>
    </w:p>
    <w:p>
      <w:pPr>
        <w:pStyle w:val="TextBody"/>
        <w:bidi w:val="0"/>
        <w:spacing w:before="0" w:after="283"/>
        <w:jc w:val="left"/>
        <w:rPr/>
      </w:pPr>
      <w:r>
        <w:rPr/>
        <w:t>Supplementary materials to this press release, including our fourth quarter and fiscal 2026 earnings presentation, can be found at https://ir.nutanix.com/financial/quarterly-results.</w:t>
      </w:r>
    </w:p>
    <w:p>
      <w:pPr>
        <w:pStyle w:val="TextBody"/>
        <w:bidi w:val="0"/>
        <w:spacing w:before="0" w:after="283"/>
        <w:jc w:val="left"/>
        <w:rPr/>
      </w:pPr>
      <w:r>
        <w:rPr>
          <w:rStyle w:val="StrongEmphasis"/>
        </w:rPr>
        <w:t>Webcast and Conference Call Information</w:t>
      </w:r>
    </w:p>
    <w:p>
      <w:pPr>
        <w:pStyle w:val="TextBody"/>
        <w:bidi w:val="0"/>
        <w:spacing w:before="0" w:after="283"/>
        <w:jc w:val="left"/>
        <w:rPr/>
      </w:pPr>
      <w:r>
        <w:rPr/>
        <w:t xml:space="preserve">Nutanix executives will discuss the Company’s fourth quarter and fiscal 2026 financial results on a conference call today at 4:30 p.m. Eastern Time / 1:30 p.m. Pacific Time. Interested parties may access the conference call by registering at this link to receive dial in details and a unique PIN number. The conference call will also be webcast live on the Nutanix Investor Relations website at </w:t>
      </w:r>
      <w:r>
        <w:rPr>
          <w:u w:val="single"/>
        </w:rPr>
        <w:t>ir.nutanix.com</w:t>
      </w:r>
      <w:r>
        <w:rPr/>
        <w:t xml:space="preserve">. An archived replay of the webcast will be available on the Nutanix Investor Relations website at </w:t>
      </w:r>
      <w:r>
        <w:rPr>
          <w:u w:val="single"/>
        </w:rPr>
        <w:t>ir.nutanix.com</w:t>
      </w:r>
      <w:r>
        <w:rPr/>
        <w:t> shortly after the call.</w:t>
      </w:r>
    </w:p>
    <w:p>
      <w:pPr>
        <w:pStyle w:val="TextBody"/>
        <w:bidi w:val="0"/>
        <w:spacing w:before="0" w:after="283"/>
        <w:jc w:val="left"/>
        <w:rPr/>
      </w:pPr>
      <w:r>
        <w:rPr>
          <w:rStyle w:val="StrongEmphasis"/>
        </w:rPr>
        <w:t>Footnotes</w:t>
      </w:r>
    </w:p>
    <w:p>
      <w:pPr>
        <w:pStyle w:val="TextBody"/>
        <w:bidi w:val="0"/>
        <w:spacing w:before="0" w:after="283"/>
        <w:jc w:val="left"/>
        <w:rPr/>
      </w:pPr>
      <w:r>
        <w:rPr>
          <w:rStyle w:val="Emphasis"/>
          <w:position w:val="8"/>
          <w:sz w:val="19"/>
        </w:rPr>
        <w:t>1</w:t>
      </w:r>
      <w:r>
        <w:rPr>
          <w:rStyle w:val="StrongEmphasis"/>
        </w:rPr>
        <w:t>Annual Recurring Revenue</w:t>
      </w:r>
      <w:r>
        <w:rPr>
          <w:rStyle w:val="Emphasis"/>
        </w:rPr>
        <w:t xml:space="preserve">, or </w:t>
      </w:r>
      <w:r>
        <w:rPr>
          <w:rStyle w:val="StrongEmphasis"/>
        </w:rPr>
        <w:t>ARR</w:t>
      </w:r>
      <w:r>
        <w:rPr>
          <w:rStyle w:val="Emphasis"/>
        </w:rPr>
        <w:t xml:space="preserve">, is defined as the sum of ACV for all subscription contracts from all customers in effect as of the end of a specific period, assuming any subscription contract that expires is renewed on its existing terms. ARR excludes the value of professional services, non-portable software and support contracts and hardware sales. For the purposes of this calculation, we generally assume that the contract term begins on the date when the software is made available to the customer. </w:t>
      </w:r>
      <w:r>
        <w:rPr>
          <w:rStyle w:val="StrongEmphasis"/>
        </w:rPr>
        <w:t>ACV</w:t>
      </w:r>
      <w:r>
        <w:rPr>
          <w:rStyle w:val="Emphasis"/>
        </w:rPr>
        <w:t xml:space="preserve"> is defined as the total annualized value of a contract. The total annualized value for a contract is calculated by dividing the total value of the contract by the number of years in the term of such contract. Beginning with the first quarter of fiscal 2026, our methodology for calculating ARR was updated to align more closely with the timing of when licenses are made available to customers. For comparability purposes, ARR for all prior periods have been adjusted to conform to the updated methodology. </w:t>
      </w:r>
    </w:p>
    <w:p>
      <w:pPr>
        <w:pStyle w:val="TextBody"/>
        <w:bidi w:val="0"/>
        <w:spacing w:before="0" w:after="283"/>
        <w:jc w:val="left"/>
        <w:rPr/>
      </w:pPr>
      <w:r>
        <w:rPr>
          <w:rStyle w:val="Emphasis"/>
          <w:position w:val="8"/>
          <w:sz w:val="19"/>
        </w:rPr>
        <w:t>2</w:t>
      </w:r>
      <w:r>
        <w:rPr>
          <w:rStyle w:val="StrongEmphasis"/>
        </w:rPr>
        <w:t xml:space="preserve">Average Contract Duration </w:t>
      </w:r>
      <w:r>
        <w:rPr>
          <w:rStyle w:val="Emphasis"/>
        </w:rPr>
        <w:t>represents the dollar-weighted term, calculated on a billings basis, across all subscription contracts, as well as our limited number of life-of-device contracts, using an assumed term of five years for life-of-device licenses, executed in the period.</w:t>
      </w:r>
    </w:p>
    <w:p>
      <w:pPr>
        <w:pStyle w:val="TextBody"/>
        <w:bidi w:val="0"/>
        <w:spacing w:before="0" w:after="283"/>
        <w:jc w:val="left"/>
        <w:rPr/>
      </w:pPr>
      <w:r>
        <w:rPr>
          <w:rStyle w:val="Emphasis"/>
          <w:position w:val="8"/>
          <w:sz w:val="19"/>
        </w:rPr>
        <w:t>3</w:t>
      </w:r>
      <w:r>
        <w:rPr>
          <w:rStyle w:val="Emphasis"/>
        </w:rPr>
        <w:t xml:space="preserve">Weighted average share count used in computing diluted non-GAAP net income per share. </w:t>
      </w:r>
    </w:p>
    <w:p>
      <w:pPr>
        <w:pStyle w:val="TextBody"/>
        <w:bidi w:val="0"/>
        <w:spacing w:before="0" w:after="283"/>
        <w:jc w:val="left"/>
        <w:rPr/>
      </w:pPr>
      <w:r>
        <w:rPr>
          <w:rStyle w:val="StrongEmphasis"/>
        </w:rPr>
        <w:t>Non-GAAP Financial Measures and Other Key Performance Measures</w:t>
      </w:r>
    </w:p>
    <w:p>
      <w:pPr>
        <w:pStyle w:val="TextBody"/>
        <w:bidi w:val="0"/>
        <w:spacing w:before="0" w:after="283"/>
        <w:jc w:val="left"/>
        <w:rPr/>
      </w:pPr>
      <w:r>
        <w:rPr/>
        <w:t>To supplement our consolidated financial statements, which are prepared and presented in accordance with GAAP, this press release includes the following non-GAAP financial and other key performance measures: non-GAAP gross margin, non-GAAP operating expenses, non-GAAP operating income, non-GAAP operating margin, free cash flow, Annual Recurring Revenue (or ARR), and Average Contract Duration. In computing non-GAAP financial measures, we exclude certain items such as stock-based compensation, costs associated with our acquisitions (such as amortization of acquired intangible assets and other acquisition-related costs), restructuring charges, litigation settlement accruals and legal fees related to certain litigation matters, the amortization of the debt discount and issuance costs related to debt, interest expense related to debt, inducement expense related to the repurchase of convertible senior notes, changes in the fair value of convertible notes receivable, valuation allowance releases, and other non-recurring transactions and the related tax impact. Non-GAAP gross margin, non-GAAP operating expenses, non-GAAP operating income, and non-GAAP operating margin are financial measures which we believe provide useful information to investors because they provide meaningful supplemental information regarding our performance and liquidity by excluding certain expenses and expenditures such as stock-based compensation expense that may not be indicative of our ongoing core business operating results. Free cash flow is a performance measure that we believe provides useful information to our management and investors about the amount of cash generated by the business after capital expenditures, and we define free cash flow as net cash provided by operating activities less purchases of property and equipment. ARR is a performance measure that we believe provides useful information to our management and investors as it allows us to better track the top-line growth of our subscription business (including our ability to acquire subscriptions with new customers and to retain and expand with existing customers), while normalizing for differences in contract durations. Our calculation of ARR is not adjusted for the impact of any known or projected future events (such as customer cancellations, expansion or contraction of existing customers relationships or price increases or decreases) that may cause any subscription contract not to be renewed on its existing terms. ARR is a performance measure that should be viewed independently of revenue and does not represent our revenue under GAAP on an annualized basis or a forecast of GAAP revenue. Investors should not place undue reliance on ARR as an indicator of our future or expected results. ARR does not have any standardized meaning and is therefore unlikely to be comparable to similarly titled performance measures presented by other companies. We use these non-GAAP financial and key performance measures for financial and operational decision-making and as a means to evaluate period-to-period comparisons. However, these non-GAAP financial and key performance measures have limitations as analytical tools and you should not consider them in isolation or as substitutes for analysis of our results as reported under GAAP. Non-GAAP gross margin, non-GAAP operating expenses, non-GAAP operating income, non-GAAP operating margin, and free cash flow are not substitutes for gross margin, operating expenses, operating income, operating margin, and net cash provided by operating activities, respectively. There is no GAAP measure that is comparable to ARR or Average Contract Duration, so we have not reconciled the ARR or Average Contract Duration data included in this press release to any GAAP measure. In addition, other companies, including companies in our industry, may calculate non-GAAP financial measures and key performance measures differently or may use other measures to evaluate their performance, all of which could reduce the usefulness of our non-GAAP financial measures and key performance measures as tools for comparison. We urge you to review the reconciliation of our non-GAAP financial measures and key performance measures to the most directly comparable GAAP financial measures included below in the tables captioned “Reconciliation of GAAP to Non-GAAP Profit Measures” and “Reconciliation of GAAP Net Cash Provided By Operating Activities to Non-GAAP Free Cash Flow,” and not to rely on any single financial measure to evaluate our business. This press release also includes the following forward-looking non-GAAP financial measures as part of our first quarter fiscal 2027 outlook and/or our fiscal 2027 outlook: non-GAAP operating margin and free cash flow. We are unable to reconcile these forward-looking non-GAAP financial measures to their most directly comparable GAAP financial measures without unreasonable efforts, as we are currently unable to predict with a reasonable degree of certainty the type and extent of certain items that would be expected to impact the GAAP financial measures for these periods but would not impact the non-GAAP financial measures.</w:t>
      </w:r>
    </w:p>
    <w:p>
      <w:pPr>
        <w:pStyle w:val="TextBody"/>
        <w:bidi w:val="0"/>
        <w:spacing w:before="0" w:after="283"/>
        <w:jc w:val="left"/>
        <w:rPr/>
      </w:pPr>
      <w:r>
        <w:rPr>
          <w:rStyle w:val="StrongEmphasis"/>
        </w:rPr>
        <w:t>Forward-Looking Statements</w:t>
      </w:r>
    </w:p>
    <w:p>
      <w:pPr>
        <w:pStyle w:val="TextBody"/>
        <w:bidi w:val="0"/>
        <w:spacing w:before="0" w:after="283"/>
        <w:jc w:val="left"/>
        <w:rPr/>
      </w:pPr>
      <w:r>
        <w:rPr/>
        <w:t>This press release contains express and implied forward-looking statements, including, but not limited to, statements regarding: our business trends, momentum and prospects; our expectations regarding demand for our solutions; our ability to capitalize on market opportunities through our partnerships, cloud platform innovations, AI offerings and support for external storage; our focus on delivering sustainable growth and improving profitability; our first quarter fiscal 2027 outlook; and our fiscal 2027 outlook.</w:t>
      </w:r>
    </w:p>
    <w:p>
      <w:pPr>
        <w:pStyle w:val="TextBody"/>
        <w:bidi w:val="0"/>
        <w:spacing w:before="0" w:after="283"/>
        <w:jc w:val="left"/>
        <w:rPr/>
      </w:pPr>
      <w:r>
        <w:rPr/>
        <w:t>These forward-looking statements are not historical facts and instead are based on our current expectations, estimates, opinions, and beliefs. Consequently, you should not rely on these forward-looking statements. The accuracy of these forward-looking statements depends upon future events and involves risks, uncertainties, and other factors, including factors that may be beyond our control, that may cause these statements to be inaccurate and cause our actual results, performance or achievements to differ materially and adversely from those anticipated or implied by such statements, including, among others: the inherent uncertainty or assumptions and estimates underlying our projections and guidance, which are necessarily speculative in nature; supply chain constraints, component availability and related impacts on the timing of orders, shipments and customer deployments; any failure to successfully implement or realize the anticipated benefits of our business plans, strategies and initiatives, or unexpected difficulties or delays in doing so; our ability to achieve, sustain and/or manage future growth effectively; the rapid evolution of the markets in which we compete, including the introduction, or acceleration of adoption of, competing solutions, including public cloud infrastructure; failure to timely and successfully meet our customer needs; delays in or lack of customer or market acceptance of our new solutions (including AI-related offerings), products, services, product features or technology; macroeconomic or geopolitical uncertainty; our ability to attract, recruit, train, retain, and, where applicable, ramp to full productivity, qualified employees and key personnel; factors that could result in the significant fluctuation of our future quarterly operating results (including anticipated changes to our revenue and product mix, the timing and magnitude of orders, shipments and acceptance of our solutions in any given quarter, our ability to attract new and retain existing end-customers, changes in the pricing and availability of certain components of our solutions, and fluctuations in demand and competitive pricing pressures for our solutions); our ability to form new or maintain and strengthen existing strategic alliances and partnerships, as well as our ability to manage any changes thereto; our ability to successfully implement and realize the anticipated benefits of our recently announced restructuring initiatives; our ability to make share repurchases; and other risks detailed in our Annual Report on Form 10-K for the fiscal year ended July 31, 2025 filed with the U.S. Securities and Exchange Commission, or the SEC, on September 24, 2025 and subsequent quarterly reports. Additional information will be set forth in our Annual Report on Form 10-K for the fiscal year ended July 31, 2026, which should be read in conjunction with this press release and the financial results included herein. Our SEC filings are available on the Investor Relations section of our website at ir.nutanix.com and on the SEC's website at www.sec.gov. These forward-looking statements speak only as of the date of this press release and, except as required by law, we assume no obligation, and expressly disclaim any obligation, to update, alter or otherwise revise any of these forward-looking statements to reflect actual results or subsequent events or circumstances.</w:t>
      </w:r>
    </w:p>
    <w:p>
      <w:pPr>
        <w:pStyle w:val="TextBody"/>
        <w:bidi w:val="0"/>
        <w:spacing w:before="0" w:after="283"/>
        <w:jc w:val="left"/>
        <w:rPr/>
      </w:pPr>
      <w:r>
        <w:rPr>
          <w:rStyle w:val="StrongEmphasis"/>
        </w:rPr>
        <w:t>About Nutanix</w:t>
      </w:r>
    </w:p>
    <w:p>
      <w:pPr>
        <w:pStyle w:val="TextBody"/>
        <w:bidi w:val="0"/>
        <w:spacing w:before="0" w:after="283"/>
        <w:jc w:val="left"/>
        <w:rPr/>
      </w:pPr>
      <w:r>
        <w:rPr/>
        <w:t>Nutanix is a hybrid cloud leader and AI innovator, offering organizations a unified infrastructure software platform to safely run applications, data, and AI anywhere. Trusted by customers worldwide, Nutanix empowers more than 50% of the Global 2000 to innovate faster with AI, while modernizing infrastructure, simplifying operations, and controlling costs. Learn more at www.nutanix.com or follow us on social media.</w:t>
      </w:r>
    </w:p>
    <w:p>
      <w:pPr>
        <w:pStyle w:val="TextBody"/>
        <w:bidi w:val="0"/>
        <w:spacing w:before="0" w:after="283"/>
        <w:jc w:val="left"/>
        <w:rPr/>
      </w:pPr>
      <w:r>
        <w:rPr/>
        <w:t>© 2026 Nutanix, Inc. All rights reserved. Nutanix, the Nutanix logo, and all Nutanix product and service names mentioned herein are registered trademarks or unregistered trademarks of Nutanix, Inc. (“Nutanix”) in the United States and other countries. Other brand names or marks mentioned herein are for identification purposes only and may be the trademarks of their respective holder(s). This press release is for informational purposes only and nothing herein constitutes a warranty or other binding commitment by Nutanix.</w:t>
      </w:r>
    </w:p>
    <w:p>
      <w:pPr>
        <w:pStyle w:val="TextBody"/>
        <w:bidi w:val="0"/>
        <w:spacing w:before="0" w:after="283"/>
        <w:jc w:val="left"/>
        <w:rPr/>
      </w:pPr>
      <w:r>
        <w:rPr>
          <w:rStyle w:val="StrongEmphasis"/>
        </w:rPr>
        <w:t>Investor Contact:</w:t>
      </w:r>
      <w:r>
        <w:rPr/>
        <w:br/>
        <w:t>Richard Valera</w:t>
        <w:br/>
        <w:t>ir@nutanix.com</w:t>
      </w:r>
    </w:p>
    <w:p>
      <w:pPr>
        <w:pStyle w:val="TextBody"/>
        <w:bidi w:val="0"/>
        <w:spacing w:before="0" w:after="283"/>
        <w:jc w:val="left"/>
        <w:rPr/>
      </w:pPr>
      <w:r>
        <w:rPr>
          <w:rStyle w:val="StrongEmphasis"/>
        </w:rPr>
        <w:t>Media Contact:</w:t>
        <w:br/>
      </w:r>
      <w:r>
        <w:rPr/>
        <w:t>Jennifer Massaro</w:t>
        <w:br/>
        <w:t>pr@nutanix.com</w:t>
      </w:r>
    </w:p>
    <w:p>
      <w:pPr>
        <w:pStyle w:val="TextBody"/>
        <w:bidi w:val="0"/>
        <w:jc w:val="center"/>
        <w:rPr/>
      </w:pPr>
      <w:r>
        <w:rPr/>
      </w:r>
    </w:p>
    <w:tbl>
      <w:tblPr>
        <w:tblW w:w="8013" w:type="dxa"/>
        <w:jc w:val="center"/>
        <w:tblInd w:w="0" w:type="dxa"/>
        <w:tblLayout w:type="fixed"/>
        <w:tblCellMar>
          <w:top w:w="28" w:type="dxa"/>
          <w:left w:w="28" w:type="dxa"/>
          <w:bottom w:w="28" w:type="dxa"/>
          <w:right w:w="28" w:type="dxa"/>
        </w:tblCellMar>
      </w:tblPr>
      <w:tblGrid>
        <w:gridCol w:w="4726"/>
        <w:gridCol w:w="226"/>
        <w:gridCol w:w="1141"/>
        <w:gridCol w:w="181"/>
        <w:gridCol w:w="146"/>
        <w:gridCol w:w="226"/>
        <w:gridCol w:w="1141"/>
        <w:gridCol w:w="226"/>
      </w:tblGrid>
      <w:tr>
        <w:trPr/>
        <w:tc>
          <w:tcPr>
            <w:tcW w:w="8013" w:type="dxa"/>
            <w:gridSpan w:val="8"/>
            <w:tcBorders/>
            <w:vAlign w:val="center"/>
          </w:tcPr>
          <w:p>
            <w:pPr>
              <w:pStyle w:val="TableContents"/>
              <w:bidi w:val="0"/>
              <w:spacing w:before="0" w:after="283"/>
              <w:jc w:val="center"/>
              <w:rPr/>
            </w:pPr>
            <w:r>
              <w:rPr>
                <w:rStyle w:val="StrongEmphasis"/>
              </w:rPr>
              <w:t>NUTANIX, INC.</w:t>
              <w:br/>
              <w:t>CONSOLIDATED BALANCE SHEETS</w:t>
              <w:br/>
              <w:t>(Unaudited)</w:t>
            </w:r>
          </w:p>
        </w:tc>
      </w:tr>
      <w:tr>
        <w:trPr/>
        <w:tc>
          <w:tcPr>
            <w:tcW w:w="4726" w:type="dxa"/>
            <w:tcBorders/>
            <w:vAlign w:val="center"/>
          </w:tcPr>
          <w:p>
            <w:pPr>
              <w:pStyle w:val="TableContents"/>
              <w:bidi w:val="0"/>
              <w:spacing w:before="0" w:after="283"/>
              <w:jc w:val="left"/>
              <w:rPr/>
            </w:pPr>
            <w:r>
              <w:rPr/>
              <w:t> </w:t>
            </w:r>
          </w:p>
        </w:tc>
        <w:tc>
          <w:tcPr>
            <w:tcW w:w="3061" w:type="dxa"/>
            <w:gridSpan w:val="6"/>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center"/>
              <w:rPr/>
            </w:pPr>
            <w:r>
              <w:rPr/>
              <w:t> </w:t>
            </w:r>
          </w:p>
        </w:tc>
        <w:tc>
          <w:tcPr>
            <w:tcW w:w="306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of</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726" w:type="dxa"/>
            <w:tcBorders/>
            <w:vAlign w:val="center"/>
          </w:tcPr>
          <w:p>
            <w:pPr>
              <w:pStyle w:val="TableContents"/>
              <w:bidi w:val="0"/>
              <w:spacing w:before="0" w:after="283"/>
              <w:jc w:val="center"/>
              <w:rPr/>
            </w:pPr>
            <w:r>
              <w:rPr/>
              <w:t> </w:t>
            </w:r>
          </w:p>
        </w:tc>
        <w:tc>
          <w:tcPr>
            <w:tcW w:w="13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July 31,</w:t>
            </w:r>
            <w:r>
              <w:rPr/>
              <w:br/>
            </w:r>
            <w:r>
              <w:rPr>
                <w:rStyle w:val="StrongEmphasis"/>
              </w:rPr>
              <w:t>2025</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3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July 31,</w:t>
            </w:r>
            <w:r>
              <w:rPr/>
              <w:br/>
            </w:r>
            <w:r>
              <w:rPr>
                <w:rStyle w:val="StrongEmphasis"/>
              </w:rPr>
              <w:t>2026</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r>
      <w:tr>
        <w:trPr/>
        <w:tc>
          <w:tcPr>
            <w:tcW w:w="4726" w:type="dxa"/>
            <w:tcBorders/>
            <w:vAlign w:val="center"/>
          </w:tcPr>
          <w:p>
            <w:pPr>
              <w:pStyle w:val="TableContents"/>
              <w:bidi w:val="0"/>
              <w:spacing w:before="0" w:after="283"/>
              <w:jc w:val="center"/>
              <w:rPr/>
            </w:pPr>
            <w:r>
              <w:rPr/>
              <w:t> </w:t>
            </w:r>
          </w:p>
        </w:tc>
        <w:tc>
          <w:tcPr>
            <w:tcW w:w="3061" w:type="dxa"/>
            <w:gridSpan w:val="6"/>
            <w:tcBorders/>
            <w:vAlign w:val="center"/>
          </w:tcPr>
          <w:p>
            <w:pPr>
              <w:pStyle w:val="TableContents"/>
              <w:bidi w:val="0"/>
              <w:spacing w:before="0" w:after="283"/>
              <w:jc w:val="center"/>
              <w:rPr/>
            </w:pPr>
            <w:r>
              <w:rPr>
                <w:rStyle w:val="StrongEmphasis"/>
              </w:rPr>
              <w:t>(in thousands)</w:t>
            </w:r>
          </w:p>
        </w:tc>
        <w:tc>
          <w:tcPr>
            <w:tcW w:w="226" w:type="dxa"/>
            <w:tcBorders/>
            <w:vAlign w:val="center"/>
          </w:tcPr>
          <w:p>
            <w:pPr>
              <w:pStyle w:val="TableContents"/>
              <w:bidi w:val="0"/>
              <w:spacing w:before="0" w:after="283"/>
              <w:jc w:val="center"/>
              <w:rPr/>
            </w:pPr>
            <w:r>
              <w:rPr/>
              <w:t> </w:t>
            </w:r>
          </w:p>
        </w:tc>
      </w:tr>
      <w:tr>
        <w:trPr/>
        <w:tc>
          <w:tcPr>
            <w:tcW w:w="4726" w:type="dxa"/>
            <w:tcBorders/>
            <w:vAlign w:val="center"/>
          </w:tcPr>
          <w:p>
            <w:pPr>
              <w:pStyle w:val="TableContents"/>
              <w:bidi w:val="0"/>
              <w:spacing w:before="0" w:after="283"/>
              <w:jc w:val="left"/>
              <w:rPr/>
            </w:pPr>
            <w:r>
              <w:rPr>
                <w:rStyle w:val="StrongEmphasis"/>
              </w:rPr>
              <w:t>Assets</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726" w:type="dxa"/>
            <w:tcBorders/>
            <w:vAlign w:val="center"/>
          </w:tcPr>
          <w:p>
            <w:pPr>
              <w:pStyle w:val="TableContents"/>
              <w:bidi w:val="0"/>
              <w:spacing w:before="0" w:after="283"/>
              <w:jc w:val="left"/>
              <w:rPr/>
            </w:pPr>
            <w:r>
              <w:rPr/>
              <w:t>Current assets:</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769,502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777,308</w:t>
            </w:r>
          </w:p>
        </w:tc>
        <w:tc>
          <w:tcPr>
            <w:tcW w:w="226" w:type="dxa"/>
            <w:tcBorders/>
            <w:vAlign w:val="center"/>
          </w:tcPr>
          <w:p>
            <w:pPr>
              <w:pStyle w:val="TableContents"/>
              <w:bidi w:val="0"/>
              <w:spacing w:before="0" w:after="283"/>
              <w:jc w:val="lef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Short-term investments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1,223,234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1,584,155</w:t>
            </w:r>
          </w:p>
        </w:tc>
        <w:tc>
          <w:tcPr>
            <w:tcW w:w="226" w:type="dxa"/>
            <w:tcBorders/>
            <w:vAlign w:val="center"/>
          </w:tcPr>
          <w:p>
            <w:pPr>
              <w:pStyle w:val="TableContents"/>
              <w:bidi w:val="0"/>
              <w:spacing w:before="0" w:after="283"/>
              <w:jc w:val="lef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Accounts receivable, net</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337,967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289,251</w:t>
            </w:r>
          </w:p>
        </w:tc>
        <w:tc>
          <w:tcPr>
            <w:tcW w:w="226" w:type="dxa"/>
            <w:tcBorders/>
            <w:vAlign w:val="center"/>
          </w:tcPr>
          <w:p>
            <w:pPr>
              <w:pStyle w:val="TableContents"/>
              <w:bidi w:val="0"/>
              <w:spacing w:before="0" w:after="283"/>
              <w:jc w:val="lef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Deferred commissions—current</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153,072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156,316</w:t>
            </w:r>
          </w:p>
        </w:tc>
        <w:tc>
          <w:tcPr>
            <w:tcW w:w="226" w:type="dxa"/>
            <w:tcBorders/>
            <w:vAlign w:val="center"/>
          </w:tcPr>
          <w:p>
            <w:pPr>
              <w:pStyle w:val="TableContents"/>
              <w:bidi w:val="0"/>
              <w:spacing w:before="0" w:after="283"/>
              <w:jc w:val="lef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Prepaid expenses and other current assets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105,391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221,483</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Total current assets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2,589,166</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3,028,513</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t>Property and equipment, net</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142,814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134,887</w:t>
            </w:r>
          </w:p>
        </w:tc>
        <w:tc>
          <w:tcPr>
            <w:tcW w:w="22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t>Operating lease right-of-use assets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134,526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164,427</w:t>
            </w:r>
          </w:p>
        </w:tc>
        <w:tc>
          <w:tcPr>
            <w:tcW w:w="22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t>Deferred commissions—non-current</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189,221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217,606</w:t>
            </w:r>
          </w:p>
        </w:tc>
        <w:tc>
          <w:tcPr>
            <w:tcW w:w="22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t>Intangible assets, net</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2,615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1,837</w:t>
            </w:r>
          </w:p>
        </w:tc>
        <w:tc>
          <w:tcPr>
            <w:tcW w:w="22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t>Goodwill</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185,235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185,235</w:t>
            </w:r>
          </w:p>
        </w:tc>
        <w:tc>
          <w:tcPr>
            <w:tcW w:w="22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t>Deferred tax asset</w:t>
            </w:r>
            <w:r>
              <w:rPr>
                <w:position w:val="8"/>
                <w:sz w:val="19"/>
              </w:rPr>
              <w:t>(1)</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16,974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1,215,823</w:t>
            </w:r>
          </w:p>
        </w:tc>
        <w:tc>
          <w:tcPr>
            <w:tcW w:w="22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t>Other assets—non-current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22,643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125,357</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t>Total assets</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3,283,194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5,073,685</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rStyle w:val="StrongEmphasis"/>
              </w:rPr>
              <w:t>Liabilities and Stockholders’ (Deficit) Equity</w:t>
            </w:r>
          </w:p>
        </w:tc>
        <w:tc>
          <w:tcPr>
            <w:tcW w:w="1367" w:type="dxa"/>
            <w:gridSpan w:val="2"/>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4726" w:type="dxa"/>
            <w:tcBorders/>
            <w:vAlign w:val="center"/>
          </w:tcPr>
          <w:p>
            <w:pPr>
              <w:pStyle w:val="TableContents"/>
              <w:bidi w:val="0"/>
              <w:spacing w:before="0" w:after="283"/>
              <w:jc w:val="left"/>
              <w:rPr/>
            </w:pPr>
            <w:r>
              <w:rPr/>
              <w:t>Current liabilities:</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Accounts payable</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81,599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96,508</w:t>
            </w:r>
          </w:p>
        </w:tc>
        <w:tc>
          <w:tcPr>
            <w:tcW w:w="226" w:type="dxa"/>
            <w:tcBorders/>
            <w:vAlign w:val="center"/>
          </w:tcPr>
          <w:p>
            <w:pPr>
              <w:pStyle w:val="TableContents"/>
              <w:bidi w:val="0"/>
              <w:spacing w:before="0" w:after="283"/>
              <w:jc w:val="lef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Accrued compensation and benefits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230,498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269,181</w:t>
            </w:r>
          </w:p>
        </w:tc>
        <w:tc>
          <w:tcPr>
            <w:tcW w:w="226" w:type="dxa"/>
            <w:tcBorders/>
            <w:vAlign w:val="center"/>
          </w:tcPr>
          <w:p>
            <w:pPr>
              <w:pStyle w:val="TableContents"/>
              <w:bidi w:val="0"/>
              <w:spacing w:before="0" w:after="283"/>
              <w:jc w:val="lef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Accrued expenses and other current liabilities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24,187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36,117</w:t>
            </w:r>
          </w:p>
        </w:tc>
        <w:tc>
          <w:tcPr>
            <w:tcW w:w="226" w:type="dxa"/>
            <w:tcBorders/>
            <w:vAlign w:val="center"/>
          </w:tcPr>
          <w:p>
            <w:pPr>
              <w:pStyle w:val="TableContents"/>
              <w:bidi w:val="0"/>
              <w:spacing w:before="0" w:after="283"/>
              <w:jc w:val="lef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Deferred revenue—current</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1,054,023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1,246,575</w:t>
            </w:r>
          </w:p>
        </w:tc>
        <w:tc>
          <w:tcPr>
            <w:tcW w:w="226" w:type="dxa"/>
            <w:tcBorders/>
            <w:vAlign w:val="center"/>
          </w:tcPr>
          <w:p>
            <w:pPr>
              <w:pStyle w:val="TableContents"/>
              <w:bidi w:val="0"/>
              <w:spacing w:before="0" w:after="283"/>
              <w:jc w:val="lef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Operating lease liabilities—current</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23,234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35,713</w:t>
            </w:r>
          </w:p>
        </w:tc>
        <w:tc>
          <w:tcPr>
            <w:tcW w:w="226" w:type="dxa"/>
            <w:tcBorders/>
            <w:vAlign w:val="center"/>
          </w:tcPr>
          <w:p>
            <w:pPr>
              <w:pStyle w:val="TableContents"/>
              <w:bidi w:val="0"/>
              <w:spacing w:before="0" w:after="283"/>
              <w:jc w:val="lef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Total current liabilities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1,413,541</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1,684,094</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t>Deferred revenue—non-current</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1,058,731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1,176,794</w:t>
            </w:r>
          </w:p>
        </w:tc>
        <w:tc>
          <w:tcPr>
            <w:tcW w:w="22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t>Operating lease liabilities—non-current</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115,754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134,310</w:t>
            </w:r>
          </w:p>
        </w:tc>
        <w:tc>
          <w:tcPr>
            <w:tcW w:w="22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t>Convertible senior notes, net</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1,343,818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1,348,711</w:t>
            </w:r>
          </w:p>
        </w:tc>
        <w:tc>
          <w:tcPr>
            <w:tcW w:w="22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t>Other liabilities—non-current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45,870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27,211</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Total liabilities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3,977,714</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4,371,120</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t>Stockholders’ (deficit) equity:</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Common stock</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7</w:t>
            </w:r>
          </w:p>
        </w:tc>
        <w:tc>
          <w:tcPr>
            <w:tcW w:w="226" w:type="dxa"/>
            <w:tcBorders/>
            <w:vAlign w:val="center"/>
          </w:tcPr>
          <w:p>
            <w:pPr>
              <w:pStyle w:val="TableContents"/>
              <w:bidi w:val="0"/>
              <w:spacing w:before="0" w:after="283"/>
              <w:jc w:val="lef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Additional paid-in capital</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4,200,466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4,416,059</w:t>
            </w:r>
          </w:p>
        </w:tc>
        <w:tc>
          <w:tcPr>
            <w:tcW w:w="226" w:type="dxa"/>
            <w:tcBorders/>
            <w:vAlign w:val="center"/>
          </w:tcPr>
          <w:p>
            <w:pPr>
              <w:pStyle w:val="TableContents"/>
              <w:bidi w:val="0"/>
              <w:spacing w:before="0" w:after="283"/>
              <w:jc w:val="left"/>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Accumulated other comprehensive income (loss)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700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(4,895</w:t>
            </w:r>
          </w:p>
        </w:tc>
        <w:tc>
          <w:tcPr>
            <w:tcW w:w="226" w:type="dxa"/>
            <w:tcBorders/>
            <w:vAlign w:val="center"/>
          </w:tcPr>
          <w:p>
            <w:pPr>
              <w:pStyle w:val="TableContents"/>
              <w:bidi w:val="0"/>
              <w:spacing w:before="0" w:after="283"/>
              <w:jc w:val="left"/>
              <w:rPr/>
            </w:pPr>
            <w:r>
              <w:rPr/>
              <w:t>)</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Accumulated deficit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(4,895,693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(3,708,606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726" w:type="dxa"/>
            <w:tcBorders/>
            <w:tcMar>
              <w:top w:w="0" w:type="dxa"/>
              <w:left w:w="0" w:type="dxa"/>
              <w:bottom w:w="0" w:type="dxa"/>
              <w:right w:w="0" w:type="dxa"/>
            </w:tcMar>
            <w:vAlign w:val="center"/>
          </w:tcPr>
          <w:p>
            <w:pPr>
              <w:pStyle w:val="TableContents"/>
              <w:bidi w:val="0"/>
              <w:spacing w:before="0" w:after="283"/>
              <w:jc w:val="left"/>
              <w:rPr/>
            </w:pPr>
            <w:r>
              <w:rPr/>
              <w:t>Total stockholders’ (deficit) equity</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(694,520</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702,565</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pPr>
            <w:r>
              <w:rPr/>
              <w:t>Total liabilities and stockholders’ (deficit) equity</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3,283,194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5,073,685</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t>__________________________</w:t>
        <w:br/>
        <w:t>(1) Prior to the fourth quarter of fiscal 2026, this was included within Other assets—non-current. Prior period amounts have been updated to conform to the current period presentation.</w:t>
      </w:r>
    </w:p>
    <w:p>
      <w:pPr>
        <w:pStyle w:val="TextBody"/>
        <w:bidi w:val="0"/>
        <w:spacing w:before="0" w:after="283"/>
        <w:jc w:val="left"/>
        <w:rPr/>
      </w:pPr>
      <w:r>
        <w:rPr/>
      </w:r>
    </w:p>
    <w:tbl>
      <w:tblPr>
        <w:tblW w:w="10205" w:type="dxa"/>
        <w:jc w:val="center"/>
        <w:tblInd w:w="0" w:type="dxa"/>
        <w:tblLayout w:type="fixed"/>
        <w:tblCellMar>
          <w:top w:w="28" w:type="dxa"/>
          <w:left w:w="28" w:type="dxa"/>
          <w:bottom w:w="28" w:type="dxa"/>
          <w:right w:w="28" w:type="dxa"/>
        </w:tblCellMar>
      </w:tblPr>
      <w:tblGrid>
        <w:gridCol w:w="3930"/>
        <w:gridCol w:w="226"/>
        <w:gridCol w:w="886"/>
        <w:gridCol w:w="146"/>
        <w:gridCol w:w="146"/>
        <w:gridCol w:w="226"/>
        <w:gridCol w:w="1141"/>
        <w:gridCol w:w="181"/>
        <w:gridCol w:w="146"/>
        <w:gridCol w:w="226"/>
        <w:gridCol w:w="1066"/>
        <w:gridCol w:w="146"/>
        <w:gridCol w:w="146"/>
        <w:gridCol w:w="226"/>
        <w:gridCol w:w="1141"/>
        <w:gridCol w:w="226"/>
      </w:tblGrid>
      <w:tr>
        <w:trPr/>
        <w:tc>
          <w:tcPr>
            <w:tcW w:w="10205" w:type="dxa"/>
            <w:gridSpan w:val="16"/>
            <w:tcBorders/>
            <w:vAlign w:val="center"/>
          </w:tcPr>
          <w:p>
            <w:pPr>
              <w:pStyle w:val="TableContents"/>
              <w:bidi w:val="0"/>
              <w:spacing w:before="0" w:after="283"/>
              <w:jc w:val="center"/>
              <w:rPr/>
            </w:pPr>
            <w:r>
              <w:rPr>
                <w:rStyle w:val="StrongEmphasis"/>
              </w:rPr>
              <w:t>NUTANIX, INC.</w:t>
            </w:r>
            <w:r>
              <w:rPr/>
              <w:br/>
            </w:r>
            <w:r>
              <w:rPr>
                <w:rStyle w:val="StrongEmphasis"/>
              </w:rPr>
              <w:t>CONSOLIDATED STATEMENTS OF OPERATIONS</w:t>
            </w:r>
            <w:r>
              <w:rPr/>
              <w:br/>
            </w:r>
            <w:r>
              <w:rPr>
                <w:rStyle w:val="StrongEmphasis"/>
              </w:rPr>
              <w:t>(Unaudited)</w:t>
            </w:r>
          </w:p>
        </w:tc>
      </w:tr>
      <w:tr>
        <w:trPr/>
        <w:tc>
          <w:tcPr>
            <w:tcW w:w="3930" w:type="dxa"/>
            <w:tcBorders/>
            <w:vAlign w:val="center"/>
          </w:tcPr>
          <w:p>
            <w:pPr>
              <w:pStyle w:val="TableContents"/>
              <w:bidi w:val="0"/>
              <w:spacing w:before="0" w:after="283"/>
              <w:jc w:val="left"/>
              <w:rPr/>
            </w:pPr>
            <w:r>
              <w:rPr/>
              <w:t> </w:t>
            </w:r>
          </w:p>
        </w:tc>
        <w:tc>
          <w:tcPr>
            <w:tcW w:w="2771" w:type="dxa"/>
            <w:gridSpan w:val="6"/>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51" w:type="dxa"/>
            <w:gridSpan w:val="6"/>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r>
        <w:trPr/>
        <w:tc>
          <w:tcPr>
            <w:tcW w:w="3930" w:type="dxa"/>
            <w:tcBorders/>
            <w:vAlign w:val="center"/>
          </w:tcPr>
          <w:p>
            <w:pPr>
              <w:pStyle w:val="TableContents"/>
              <w:bidi w:val="0"/>
              <w:spacing w:before="0" w:after="283"/>
              <w:jc w:val="center"/>
              <w:rPr/>
            </w:pPr>
            <w:r>
              <w:rPr/>
              <w:t> </w:t>
            </w:r>
          </w:p>
        </w:tc>
        <w:tc>
          <w:tcPr>
            <w:tcW w:w="277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br/>
            </w:r>
            <w:r>
              <w:rPr>
                <w:rStyle w:val="StrongEmphasis"/>
              </w:rPr>
              <w:t>July 31,</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95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Fiscal Year Ended</w:t>
            </w:r>
            <w:r>
              <w:rPr/>
              <w:br/>
            </w:r>
            <w:r>
              <w:rPr>
                <w:rStyle w:val="StrongEmphasis"/>
              </w:rPr>
              <w:t>July 31,</w:t>
            </w:r>
          </w:p>
        </w:tc>
        <w:tc>
          <w:tcPr>
            <w:tcW w:w="226"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11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2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226"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center"/>
              <w:rPr/>
            </w:pPr>
            <w:r>
              <w:rPr/>
              <w:t> </w:t>
            </w:r>
          </w:p>
        </w:tc>
        <w:tc>
          <w:tcPr>
            <w:tcW w:w="6049" w:type="dxa"/>
            <w:gridSpan w:val="14"/>
            <w:tcBorders/>
            <w:vAlign w:val="center"/>
          </w:tcPr>
          <w:p>
            <w:pPr>
              <w:pStyle w:val="TableContents"/>
              <w:bidi w:val="0"/>
              <w:spacing w:before="0" w:after="283"/>
              <w:jc w:val="center"/>
              <w:rPr/>
            </w:pPr>
            <w:r>
              <w:rPr>
                <w:rStyle w:val="StrongEmphasis"/>
              </w:rPr>
              <w:t>(in thousands, except per share data)</w:t>
            </w:r>
          </w:p>
        </w:tc>
        <w:tc>
          <w:tcPr>
            <w:tcW w:w="226" w:type="dxa"/>
            <w:tcBorders/>
            <w:vAlign w:val="center"/>
          </w:tcPr>
          <w:p>
            <w:pPr>
              <w:pStyle w:val="TableContents"/>
              <w:bidi w:val="0"/>
              <w:spacing w:before="0" w:after="283"/>
              <w:jc w:val="center"/>
              <w:rPr/>
            </w:pPr>
            <w:r>
              <w:rPr/>
              <w:t> </w:t>
            </w:r>
          </w:p>
        </w:tc>
      </w:tr>
      <w:tr>
        <w:trPr/>
        <w:tc>
          <w:tcPr>
            <w:tcW w:w="3930" w:type="dxa"/>
            <w:tcBorders/>
            <w:vAlign w:val="center"/>
          </w:tcPr>
          <w:p>
            <w:pPr>
              <w:pStyle w:val="TableContents"/>
              <w:bidi w:val="0"/>
              <w:spacing w:before="0" w:after="283"/>
              <w:jc w:val="left"/>
              <w:rPr/>
            </w:pPr>
            <w:r>
              <w:rPr/>
              <w:t>Revenue:</w:t>
            </w:r>
          </w:p>
        </w:tc>
        <w:tc>
          <w:tcPr>
            <w:tcW w:w="11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3930" w:type="dxa"/>
            <w:tcBorders/>
            <w:tcMar>
              <w:top w:w="0" w:type="dxa"/>
              <w:left w:w="0" w:type="dxa"/>
              <w:bottom w:w="0" w:type="dxa"/>
              <w:right w:w="0" w:type="dxa"/>
            </w:tcMar>
            <w:vAlign w:val="center"/>
          </w:tcPr>
          <w:p>
            <w:pPr>
              <w:pStyle w:val="TableContents"/>
              <w:bidi w:val="0"/>
              <w:spacing w:before="0" w:after="283"/>
              <w:jc w:val="left"/>
              <w:rPr/>
            </w:pPr>
            <w:r>
              <w:rPr/>
              <w:t>Product</w:t>
            </w:r>
          </w:p>
        </w:tc>
        <w:tc>
          <w:tcPr>
            <w:tcW w:w="226"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339,789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388,388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1,341,374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1,489,693</w:t>
            </w:r>
          </w:p>
        </w:tc>
        <w:tc>
          <w:tcPr>
            <w:tcW w:w="226" w:type="dxa"/>
            <w:tcBorders/>
            <w:vAlign w:val="center"/>
          </w:tcPr>
          <w:p>
            <w:pPr>
              <w:pStyle w:val="TableContents"/>
              <w:bidi w:val="0"/>
              <w:spacing w:before="0" w:after="283"/>
              <w:jc w:val="left"/>
              <w:rPr/>
            </w:pPr>
            <w:r>
              <w:rPr/>
              <w:t> </w:t>
            </w:r>
          </w:p>
        </w:tc>
      </w:tr>
      <w:tr>
        <w:trPr/>
        <w:tc>
          <w:tcPr>
            <w:tcW w:w="3930" w:type="dxa"/>
            <w:tcBorders/>
            <w:tcMar>
              <w:top w:w="0" w:type="dxa"/>
              <w:left w:w="0" w:type="dxa"/>
              <w:bottom w:w="0" w:type="dxa"/>
              <w:right w:w="0" w:type="dxa"/>
            </w:tcMar>
            <w:vAlign w:val="center"/>
          </w:tcPr>
          <w:p>
            <w:pPr>
              <w:pStyle w:val="TableContents"/>
              <w:bidi w:val="0"/>
              <w:spacing w:before="0" w:after="283"/>
              <w:jc w:val="left"/>
              <w:rPr/>
            </w:pPr>
            <w:r>
              <w:rPr/>
              <w:t>Support, maintenance and other services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313,478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368,690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1,196,553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1,363,852</w:t>
            </w:r>
          </w:p>
        </w:tc>
        <w:tc>
          <w:tcPr>
            <w:tcW w:w="226" w:type="dxa"/>
            <w:tcBorders/>
            <w:vAlign w:val="center"/>
          </w:tcPr>
          <w:p>
            <w:pPr>
              <w:pStyle w:val="TableContents"/>
              <w:bidi w:val="0"/>
              <w:spacing w:before="0" w:after="283"/>
              <w:jc w:val="left"/>
              <w:rPr/>
            </w:pPr>
            <w:r>
              <w:rPr/>
              <w:t> </w:t>
            </w:r>
          </w:p>
        </w:tc>
      </w:tr>
      <w:tr>
        <w:trPr/>
        <w:tc>
          <w:tcPr>
            <w:tcW w:w="3930" w:type="dxa"/>
            <w:tcBorders/>
            <w:tcMar>
              <w:top w:w="0" w:type="dxa"/>
              <w:left w:w="0" w:type="dxa"/>
              <w:bottom w:w="0" w:type="dxa"/>
              <w:right w:w="0" w:type="dxa"/>
            </w:tcMar>
            <w:vAlign w:val="center"/>
          </w:tcPr>
          <w:p>
            <w:pPr>
              <w:pStyle w:val="TableContents"/>
              <w:bidi w:val="0"/>
              <w:spacing w:before="0" w:after="283"/>
              <w:jc w:val="left"/>
              <w:rPr/>
            </w:pPr>
            <w:r>
              <w:rPr/>
              <w:t>Total revenue</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653,267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757,078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2,537,927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2,853,545</w:t>
            </w:r>
          </w:p>
        </w:tc>
        <w:tc>
          <w:tcPr>
            <w:tcW w:w="226" w:type="dxa"/>
            <w:tcBorders/>
            <w:vAlign w:val="center"/>
          </w:tcPr>
          <w:p>
            <w:pPr>
              <w:pStyle w:val="TableContents"/>
              <w:bidi w:val="0"/>
              <w:spacing w:before="0" w:after="283"/>
              <w:jc w:val="left"/>
              <w:rPr/>
            </w:pPr>
            <w:r>
              <w:rPr/>
              <w:t> </w:t>
            </w:r>
          </w:p>
        </w:tc>
      </w:tr>
      <w:tr>
        <w:trPr/>
        <w:tc>
          <w:tcPr>
            <w:tcW w:w="3930" w:type="dxa"/>
            <w:tcBorders/>
            <w:vAlign w:val="center"/>
          </w:tcPr>
          <w:p>
            <w:pPr>
              <w:pStyle w:val="TableContents"/>
              <w:bidi w:val="0"/>
              <w:spacing w:before="0" w:after="283"/>
              <w:jc w:val="left"/>
              <w:rPr/>
            </w:pPr>
            <w:r>
              <w:rPr/>
              <w:t>Cost of revenue:</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3930" w:type="dxa"/>
            <w:tcBorders/>
            <w:tcMar>
              <w:top w:w="0" w:type="dxa"/>
              <w:left w:w="0" w:type="dxa"/>
              <w:bottom w:w="0" w:type="dxa"/>
              <w:right w:w="0" w:type="dxa"/>
            </w:tcMar>
            <w:vAlign w:val="center"/>
          </w:tcPr>
          <w:p>
            <w:pPr>
              <w:pStyle w:val="TableContents"/>
              <w:bidi w:val="0"/>
              <w:spacing w:before="0" w:after="283"/>
              <w:jc w:val="left"/>
              <w:rPr/>
            </w:pPr>
            <w:r>
              <w:rPr/>
              <w:t>Product</w:t>
            </w:r>
            <w:r>
              <w:rPr>
                <w:position w:val="8"/>
                <w:sz w:val="19"/>
              </w:rPr>
              <w:t>(1)(2)</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4,372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5,661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28,341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21,443</w:t>
            </w:r>
          </w:p>
        </w:tc>
        <w:tc>
          <w:tcPr>
            <w:tcW w:w="226" w:type="dxa"/>
            <w:tcBorders/>
            <w:vAlign w:val="center"/>
          </w:tcPr>
          <w:p>
            <w:pPr>
              <w:pStyle w:val="TableContents"/>
              <w:bidi w:val="0"/>
              <w:spacing w:before="0" w:after="283"/>
              <w:jc w:val="left"/>
              <w:rPr/>
            </w:pPr>
            <w:r>
              <w:rPr/>
              <w:t> </w:t>
            </w:r>
          </w:p>
        </w:tc>
      </w:tr>
      <w:tr>
        <w:trPr/>
        <w:tc>
          <w:tcPr>
            <w:tcW w:w="3930" w:type="dxa"/>
            <w:tcBorders/>
            <w:tcMar>
              <w:top w:w="0" w:type="dxa"/>
              <w:left w:w="0" w:type="dxa"/>
              <w:bottom w:w="0" w:type="dxa"/>
              <w:right w:w="0" w:type="dxa"/>
            </w:tcMar>
            <w:vAlign w:val="center"/>
          </w:tcPr>
          <w:p>
            <w:pPr>
              <w:pStyle w:val="TableContents"/>
              <w:bidi w:val="0"/>
              <w:spacing w:before="0" w:after="283"/>
              <w:jc w:val="left"/>
              <w:rPr/>
            </w:pPr>
            <w:r>
              <w:rPr/>
              <w:t>Support, maintenance and other services</w:t>
            </w:r>
            <w:r>
              <w:rPr>
                <w:position w:val="8"/>
                <w:sz w:val="19"/>
              </w:rPr>
              <w:t>(1)</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79,461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100,066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306,441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355,306</w:t>
            </w:r>
          </w:p>
        </w:tc>
        <w:tc>
          <w:tcPr>
            <w:tcW w:w="226" w:type="dxa"/>
            <w:tcBorders/>
            <w:vAlign w:val="center"/>
          </w:tcPr>
          <w:p>
            <w:pPr>
              <w:pStyle w:val="TableContents"/>
              <w:bidi w:val="0"/>
              <w:spacing w:before="0" w:after="283"/>
              <w:jc w:val="left"/>
              <w:rPr/>
            </w:pPr>
            <w:r>
              <w:rPr/>
              <w:t> </w:t>
            </w:r>
          </w:p>
        </w:tc>
      </w:tr>
      <w:tr>
        <w:trPr/>
        <w:tc>
          <w:tcPr>
            <w:tcW w:w="3930" w:type="dxa"/>
            <w:tcBorders/>
            <w:tcMar>
              <w:top w:w="0" w:type="dxa"/>
              <w:left w:w="0" w:type="dxa"/>
              <w:bottom w:w="0" w:type="dxa"/>
              <w:right w:w="0" w:type="dxa"/>
            </w:tcMar>
            <w:vAlign w:val="center"/>
          </w:tcPr>
          <w:p>
            <w:pPr>
              <w:pStyle w:val="TableContents"/>
              <w:bidi w:val="0"/>
              <w:spacing w:before="0" w:after="283"/>
              <w:jc w:val="left"/>
              <w:rPr/>
            </w:pPr>
            <w:r>
              <w:rPr/>
              <w:t>Total cost of revenue</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83,833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105,727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334,782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376,749</w:t>
            </w:r>
          </w:p>
        </w:tc>
        <w:tc>
          <w:tcPr>
            <w:tcW w:w="226" w:type="dxa"/>
            <w:tcBorders/>
            <w:vAlign w:val="center"/>
          </w:tcPr>
          <w:p>
            <w:pPr>
              <w:pStyle w:val="TableContents"/>
              <w:bidi w:val="0"/>
              <w:spacing w:before="0" w:after="283"/>
              <w:jc w:val="left"/>
              <w:rPr/>
            </w:pPr>
            <w:r>
              <w:rPr/>
              <w:t> </w:t>
            </w:r>
          </w:p>
        </w:tc>
      </w:tr>
      <w:tr>
        <w:trPr/>
        <w:tc>
          <w:tcPr>
            <w:tcW w:w="3930" w:type="dxa"/>
            <w:tcBorders/>
            <w:vAlign w:val="center"/>
          </w:tcPr>
          <w:p>
            <w:pPr>
              <w:pStyle w:val="TableContents"/>
              <w:bidi w:val="0"/>
              <w:spacing w:before="0" w:after="283"/>
              <w:jc w:val="left"/>
              <w:rPr/>
            </w:pPr>
            <w:r>
              <w:rPr/>
              <w:t>Gross profit</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569,434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651,351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2,203,145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2,476,796</w:t>
            </w:r>
          </w:p>
        </w:tc>
        <w:tc>
          <w:tcPr>
            <w:tcW w:w="226" w:type="dxa"/>
            <w:tcBorders/>
            <w:vAlign w:val="center"/>
          </w:tcPr>
          <w:p>
            <w:pPr>
              <w:pStyle w:val="TableContents"/>
              <w:bidi w:val="0"/>
              <w:spacing w:before="0" w:after="283"/>
              <w:jc w:val="left"/>
              <w:rPr/>
            </w:pPr>
            <w:r>
              <w:rPr/>
              <w:t> </w:t>
            </w:r>
          </w:p>
        </w:tc>
      </w:tr>
      <w:tr>
        <w:trPr/>
        <w:tc>
          <w:tcPr>
            <w:tcW w:w="3930" w:type="dxa"/>
            <w:tcBorders/>
            <w:vAlign w:val="center"/>
          </w:tcPr>
          <w:p>
            <w:pPr>
              <w:pStyle w:val="TableContents"/>
              <w:bidi w:val="0"/>
              <w:spacing w:before="0" w:after="283"/>
              <w:jc w:val="left"/>
              <w:rPr/>
            </w:pPr>
            <w:r>
              <w:rPr/>
              <w:t>Operating expenses:</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3930" w:type="dxa"/>
            <w:tcBorders/>
            <w:tcMar>
              <w:top w:w="0" w:type="dxa"/>
              <w:left w:w="0" w:type="dxa"/>
              <w:bottom w:w="0" w:type="dxa"/>
              <w:right w:w="0" w:type="dxa"/>
            </w:tcMar>
            <w:vAlign w:val="center"/>
          </w:tcPr>
          <w:p>
            <w:pPr>
              <w:pStyle w:val="TableContents"/>
              <w:bidi w:val="0"/>
              <w:spacing w:before="0" w:after="283"/>
              <w:jc w:val="left"/>
              <w:rPr/>
            </w:pPr>
            <w:r>
              <w:rPr/>
              <w:t>Sales and marketing</w:t>
            </w:r>
            <w:r>
              <w:rPr>
                <w:position w:val="8"/>
                <w:sz w:val="19"/>
              </w:rPr>
              <w:t>(1)(2)</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281,280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303,897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1,056,465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1,150,278</w:t>
            </w:r>
          </w:p>
        </w:tc>
        <w:tc>
          <w:tcPr>
            <w:tcW w:w="226" w:type="dxa"/>
            <w:tcBorders/>
            <w:vAlign w:val="center"/>
          </w:tcPr>
          <w:p>
            <w:pPr>
              <w:pStyle w:val="TableContents"/>
              <w:bidi w:val="0"/>
              <w:spacing w:before="0" w:after="283"/>
              <w:jc w:val="left"/>
              <w:rPr/>
            </w:pPr>
            <w:r>
              <w:rPr/>
              <w:t> </w:t>
            </w:r>
          </w:p>
        </w:tc>
      </w:tr>
      <w:tr>
        <w:trPr/>
        <w:tc>
          <w:tcPr>
            <w:tcW w:w="3930" w:type="dxa"/>
            <w:tcBorders/>
            <w:tcMar>
              <w:top w:w="0" w:type="dxa"/>
              <w:left w:w="0" w:type="dxa"/>
              <w:bottom w:w="0" w:type="dxa"/>
              <w:right w:w="0" w:type="dxa"/>
            </w:tcMar>
            <w:vAlign w:val="center"/>
          </w:tcPr>
          <w:p>
            <w:pPr>
              <w:pStyle w:val="TableContents"/>
              <w:bidi w:val="0"/>
              <w:spacing w:before="0" w:after="283"/>
              <w:jc w:val="left"/>
              <w:rPr/>
            </w:pPr>
            <w:r>
              <w:rPr/>
              <w:t>Research and development</w:t>
            </w:r>
            <w:r>
              <w:rPr>
                <w:position w:val="8"/>
                <w:sz w:val="19"/>
              </w:rPr>
              <w:t>(1)</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193,666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205,053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736,823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790,892</w:t>
            </w:r>
          </w:p>
        </w:tc>
        <w:tc>
          <w:tcPr>
            <w:tcW w:w="226" w:type="dxa"/>
            <w:tcBorders/>
            <w:vAlign w:val="center"/>
          </w:tcPr>
          <w:p>
            <w:pPr>
              <w:pStyle w:val="TableContents"/>
              <w:bidi w:val="0"/>
              <w:spacing w:before="0" w:after="283"/>
              <w:jc w:val="left"/>
              <w:rPr/>
            </w:pPr>
            <w:r>
              <w:rPr/>
              <w:t> </w:t>
            </w:r>
          </w:p>
        </w:tc>
      </w:tr>
      <w:tr>
        <w:trPr/>
        <w:tc>
          <w:tcPr>
            <w:tcW w:w="3930" w:type="dxa"/>
            <w:tcBorders/>
            <w:tcMar>
              <w:top w:w="0" w:type="dxa"/>
              <w:left w:w="0" w:type="dxa"/>
              <w:bottom w:w="0" w:type="dxa"/>
              <w:right w:w="0" w:type="dxa"/>
            </w:tcMar>
            <w:vAlign w:val="center"/>
          </w:tcPr>
          <w:p>
            <w:pPr>
              <w:pStyle w:val="TableContents"/>
              <w:bidi w:val="0"/>
              <w:spacing w:before="0" w:after="283"/>
              <w:jc w:val="left"/>
              <w:rPr/>
            </w:pPr>
            <w:r>
              <w:rPr/>
              <w:t>General and administrative</w:t>
            </w:r>
            <w:r>
              <w:rPr>
                <w:position w:val="8"/>
                <w:sz w:val="19"/>
              </w:rPr>
              <w:t>(1)</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63,280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72,412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237,316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261,656</w:t>
            </w:r>
          </w:p>
        </w:tc>
        <w:tc>
          <w:tcPr>
            <w:tcW w:w="226" w:type="dxa"/>
            <w:tcBorders/>
            <w:vAlign w:val="center"/>
          </w:tcPr>
          <w:p>
            <w:pPr>
              <w:pStyle w:val="TableContents"/>
              <w:bidi w:val="0"/>
              <w:spacing w:before="0" w:after="283"/>
              <w:jc w:val="left"/>
              <w:rPr/>
            </w:pPr>
            <w:r>
              <w:rPr/>
              <w:t> </w:t>
            </w:r>
          </w:p>
        </w:tc>
      </w:tr>
      <w:tr>
        <w:trPr/>
        <w:tc>
          <w:tcPr>
            <w:tcW w:w="3930" w:type="dxa"/>
            <w:tcBorders/>
            <w:tcMar>
              <w:top w:w="0" w:type="dxa"/>
              <w:left w:w="0" w:type="dxa"/>
              <w:bottom w:w="0" w:type="dxa"/>
              <w:right w:w="0" w:type="dxa"/>
            </w:tcMar>
            <w:vAlign w:val="center"/>
          </w:tcPr>
          <w:p>
            <w:pPr>
              <w:pStyle w:val="TableContents"/>
              <w:bidi w:val="0"/>
              <w:spacing w:before="0" w:after="283"/>
              <w:jc w:val="left"/>
              <w:rPr/>
            </w:pPr>
            <w:r>
              <w:rPr/>
              <w:t>Total operating expenses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538,226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581,362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2,030,604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2,202,826</w:t>
            </w:r>
          </w:p>
        </w:tc>
        <w:tc>
          <w:tcPr>
            <w:tcW w:w="226" w:type="dxa"/>
            <w:tcBorders/>
            <w:vAlign w:val="center"/>
          </w:tcPr>
          <w:p>
            <w:pPr>
              <w:pStyle w:val="TableContents"/>
              <w:bidi w:val="0"/>
              <w:spacing w:before="0" w:after="283"/>
              <w:jc w:val="left"/>
              <w:rPr/>
            </w:pPr>
            <w:r>
              <w:rPr/>
              <w:t> </w:t>
            </w:r>
          </w:p>
        </w:tc>
      </w:tr>
      <w:tr>
        <w:trPr/>
        <w:tc>
          <w:tcPr>
            <w:tcW w:w="3930" w:type="dxa"/>
            <w:tcBorders/>
            <w:vAlign w:val="center"/>
          </w:tcPr>
          <w:p>
            <w:pPr>
              <w:pStyle w:val="TableContents"/>
              <w:bidi w:val="0"/>
              <w:spacing w:before="0" w:after="283"/>
              <w:jc w:val="left"/>
              <w:rPr/>
            </w:pPr>
            <w:r>
              <w:rPr/>
              <w:t>Income from operations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31,208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69,989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172,541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273,970</w:t>
            </w:r>
          </w:p>
        </w:tc>
        <w:tc>
          <w:tcPr>
            <w:tcW w:w="226" w:type="dxa"/>
            <w:tcBorders/>
            <w:vAlign w:val="center"/>
          </w:tcPr>
          <w:p>
            <w:pPr>
              <w:pStyle w:val="TableContents"/>
              <w:bidi w:val="0"/>
              <w:spacing w:before="0" w:after="283"/>
              <w:jc w:val="left"/>
              <w:rPr/>
            </w:pPr>
            <w:r>
              <w:rPr/>
              <w:t> </w:t>
            </w:r>
          </w:p>
        </w:tc>
      </w:tr>
      <w:tr>
        <w:trPr/>
        <w:tc>
          <w:tcPr>
            <w:tcW w:w="3930" w:type="dxa"/>
            <w:tcBorders/>
            <w:vAlign w:val="center"/>
          </w:tcPr>
          <w:p>
            <w:pPr>
              <w:pStyle w:val="TableContents"/>
              <w:bidi w:val="0"/>
              <w:spacing w:before="0" w:after="283"/>
              <w:jc w:val="left"/>
              <w:rPr/>
            </w:pPr>
            <w:r>
              <w:rPr/>
              <w:t>Other income, net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13,935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12,726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39,107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53,138</w:t>
            </w:r>
          </w:p>
        </w:tc>
        <w:tc>
          <w:tcPr>
            <w:tcW w:w="226" w:type="dxa"/>
            <w:tcBorders/>
            <w:vAlign w:val="center"/>
          </w:tcPr>
          <w:p>
            <w:pPr>
              <w:pStyle w:val="TableContents"/>
              <w:bidi w:val="0"/>
              <w:spacing w:before="0" w:after="283"/>
              <w:jc w:val="left"/>
              <w:rPr/>
            </w:pPr>
            <w:r>
              <w:rPr/>
              <w:t> </w:t>
            </w:r>
          </w:p>
        </w:tc>
      </w:tr>
      <w:tr>
        <w:trPr/>
        <w:tc>
          <w:tcPr>
            <w:tcW w:w="3930" w:type="dxa"/>
            <w:tcBorders/>
            <w:vAlign w:val="center"/>
          </w:tcPr>
          <w:p>
            <w:pPr>
              <w:pStyle w:val="TableContents"/>
              <w:bidi w:val="0"/>
              <w:spacing w:before="0" w:after="283"/>
              <w:jc w:val="left"/>
              <w:rPr/>
            </w:pPr>
            <w:r>
              <w:rPr/>
              <w:t>Income before provision for (benefit from) income taxes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45,143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82,715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211,648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327,108</w:t>
            </w:r>
          </w:p>
        </w:tc>
        <w:tc>
          <w:tcPr>
            <w:tcW w:w="226" w:type="dxa"/>
            <w:tcBorders/>
            <w:vAlign w:val="center"/>
          </w:tcPr>
          <w:p>
            <w:pPr>
              <w:pStyle w:val="TableContents"/>
              <w:bidi w:val="0"/>
              <w:spacing w:before="0" w:after="283"/>
              <w:jc w:val="left"/>
              <w:rPr/>
            </w:pPr>
            <w:r>
              <w:rPr/>
              <w:t> </w:t>
            </w:r>
          </w:p>
        </w:tc>
      </w:tr>
      <w:tr>
        <w:trPr/>
        <w:tc>
          <w:tcPr>
            <w:tcW w:w="3930" w:type="dxa"/>
            <w:tcBorders/>
            <w:vAlign w:val="center"/>
          </w:tcPr>
          <w:p>
            <w:pPr>
              <w:pStyle w:val="TableContents"/>
              <w:bidi w:val="0"/>
              <w:spacing w:before="0" w:after="283"/>
              <w:jc w:val="left"/>
              <w:rPr/>
            </w:pPr>
            <w:r>
              <w:rPr/>
              <w:t>Provision for (benefit from) income taxes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6,493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(1,186,917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23,282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(1,179,729</w:t>
            </w:r>
          </w:p>
        </w:tc>
        <w:tc>
          <w:tcPr>
            <w:tcW w:w="226" w:type="dxa"/>
            <w:tcBorders/>
            <w:vAlign w:val="center"/>
          </w:tcPr>
          <w:p>
            <w:pPr>
              <w:pStyle w:val="TableContents"/>
              <w:bidi w:val="0"/>
              <w:spacing w:before="0" w:after="283"/>
              <w:jc w:val="left"/>
              <w:rPr/>
            </w:pPr>
            <w:r>
              <w:rPr/>
              <w:t>)</w:t>
            </w:r>
          </w:p>
        </w:tc>
      </w:tr>
      <w:tr>
        <w:trPr/>
        <w:tc>
          <w:tcPr>
            <w:tcW w:w="3930" w:type="dxa"/>
            <w:tcBorders/>
            <w:vAlign w:val="center"/>
          </w:tcPr>
          <w:p>
            <w:pPr>
              <w:pStyle w:val="TableContents"/>
              <w:bidi w:val="0"/>
              <w:spacing w:before="0" w:after="283"/>
              <w:jc w:val="left"/>
              <w:rPr/>
            </w:pPr>
            <w:r>
              <w:rPr/>
              <w:t>Net income</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38,650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1,269,632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188,366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1,506,837</w:t>
            </w:r>
          </w:p>
        </w:tc>
        <w:tc>
          <w:tcPr>
            <w:tcW w:w="226" w:type="dxa"/>
            <w:tcBorders/>
            <w:vAlign w:val="center"/>
          </w:tcPr>
          <w:p>
            <w:pPr>
              <w:pStyle w:val="TableContents"/>
              <w:bidi w:val="0"/>
              <w:spacing w:before="0" w:after="283"/>
              <w:jc w:val="left"/>
              <w:rPr/>
            </w:pPr>
            <w:r>
              <w:rPr/>
              <w:t> </w:t>
            </w:r>
          </w:p>
        </w:tc>
      </w:tr>
      <w:tr>
        <w:trPr/>
        <w:tc>
          <w:tcPr>
            <w:tcW w:w="3930" w:type="dxa"/>
            <w:tcBorders/>
            <w:vAlign w:val="center"/>
          </w:tcPr>
          <w:p>
            <w:pPr>
              <w:pStyle w:val="TableContents"/>
              <w:bidi w:val="0"/>
              <w:spacing w:before="0" w:after="283"/>
              <w:jc w:val="left"/>
              <w:rPr/>
            </w:pPr>
            <w:r>
              <w:rPr/>
              <w:t>Net income per share attributable to Class A common stockholders, basic</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4.69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0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0.70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5.61</w:t>
            </w:r>
          </w:p>
        </w:tc>
        <w:tc>
          <w:tcPr>
            <w:tcW w:w="226" w:type="dxa"/>
            <w:tcBorders/>
            <w:vAlign w:val="center"/>
          </w:tcPr>
          <w:p>
            <w:pPr>
              <w:pStyle w:val="TableContents"/>
              <w:bidi w:val="0"/>
              <w:spacing w:before="0" w:after="283"/>
              <w:jc w:val="left"/>
              <w:rPr/>
            </w:pPr>
            <w:r>
              <w:rPr/>
              <w:t> </w:t>
            </w:r>
          </w:p>
        </w:tc>
      </w:tr>
      <w:tr>
        <w:trPr/>
        <w:tc>
          <w:tcPr>
            <w:tcW w:w="3930" w:type="dxa"/>
            <w:tcBorders/>
            <w:vAlign w:val="center"/>
          </w:tcPr>
          <w:p>
            <w:pPr>
              <w:pStyle w:val="TableContents"/>
              <w:bidi w:val="0"/>
              <w:spacing w:before="0" w:after="283"/>
              <w:jc w:val="left"/>
              <w:rPr/>
            </w:pPr>
            <w:r>
              <w:rPr/>
              <w:t>Net income per share attributable to Class A common stockholders, diluted</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4.34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0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0.65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5.17</w:t>
            </w:r>
          </w:p>
        </w:tc>
        <w:tc>
          <w:tcPr>
            <w:tcW w:w="226" w:type="dxa"/>
            <w:tcBorders/>
            <w:vAlign w:val="center"/>
          </w:tcPr>
          <w:p>
            <w:pPr>
              <w:pStyle w:val="TableContents"/>
              <w:bidi w:val="0"/>
              <w:spacing w:before="0" w:after="283"/>
              <w:jc w:val="left"/>
              <w:rPr/>
            </w:pPr>
            <w:r>
              <w:rPr/>
              <w:t> </w:t>
            </w:r>
          </w:p>
        </w:tc>
      </w:tr>
      <w:tr>
        <w:trPr/>
        <w:tc>
          <w:tcPr>
            <w:tcW w:w="3930" w:type="dxa"/>
            <w:tcBorders/>
            <w:vAlign w:val="center"/>
          </w:tcPr>
          <w:p>
            <w:pPr>
              <w:pStyle w:val="TableContents"/>
              <w:bidi w:val="0"/>
              <w:spacing w:before="0" w:after="283"/>
              <w:jc w:val="left"/>
              <w:rPr/>
            </w:pPr>
            <w:r>
              <w:rPr/>
              <w:t>Weighted average shares used in computing net income per share attributable to Class A common stockholders, basic</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268,659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270,570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0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267,479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268,691</w:t>
            </w:r>
          </w:p>
        </w:tc>
        <w:tc>
          <w:tcPr>
            <w:tcW w:w="226" w:type="dxa"/>
            <w:tcBorders/>
            <w:vAlign w:val="center"/>
          </w:tcPr>
          <w:p>
            <w:pPr>
              <w:pStyle w:val="TableContents"/>
              <w:bidi w:val="0"/>
              <w:spacing w:before="0" w:after="283"/>
              <w:jc w:val="left"/>
              <w:rPr/>
            </w:pPr>
            <w:r>
              <w:rPr/>
              <w:t> </w:t>
            </w:r>
          </w:p>
        </w:tc>
      </w:tr>
      <w:tr>
        <w:trPr/>
        <w:tc>
          <w:tcPr>
            <w:tcW w:w="3930" w:type="dxa"/>
            <w:tcBorders/>
            <w:vAlign w:val="center"/>
          </w:tcPr>
          <w:p>
            <w:pPr>
              <w:pStyle w:val="TableContents"/>
              <w:bidi w:val="0"/>
              <w:spacing w:before="0" w:after="283"/>
              <w:jc w:val="left"/>
              <w:rPr/>
            </w:pPr>
            <w:r>
              <w:rPr/>
              <w:t>Weighted average shares used in computing net income per share attributable to Class A common stockholders, diluted</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297,456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292,736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0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294,083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292,183</w:t>
            </w:r>
          </w:p>
        </w:tc>
        <w:tc>
          <w:tcPr>
            <w:tcW w:w="226" w:type="dxa"/>
            <w:tcBorders/>
            <w:vAlign w:val="center"/>
          </w:tcPr>
          <w:p>
            <w:pPr>
              <w:pStyle w:val="TableContents"/>
              <w:bidi w:val="0"/>
              <w:spacing w:before="0" w:after="283"/>
              <w:jc w:val="left"/>
              <w:rPr/>
            </w:pPr>
            <w:r>
              <w:rPr/>
              <w:t> </w:t>
            </w:r>
          </w:p>
        </w:tc>
      </w:tr>
    </w:tbl>
    <w:p>
      <w:pPr>
        <w:pStyle w:val="TextBody"/>
        <w:bidi w:val="0"/>
        <w:spacing w:before="0" w:after="283"/>
        <w:jc w:val="left"/>
        <w:rPr/>
      </w:pPr>
      <w:r>
        <w:rPr/>
        <w:t>__________________________</w:t>
        <w:br/>
        <w:t>(1) Includes the following stock-based compensation expense:</w:t>
      </w:r>
    </w:p>
    <w:tbl>
      <w:tblPr>
        <w:tblW w:w="10205" w:type="dxa"/>
        <w:jc w:val="center"/>
        <w:tblInd w:w="0" w:type="dxa"/>
        <w:tblLayout w:type="fixed"/>
        <w:tblCellMar>
          <w:top w:w="28" w:type="dxa"/>
          <w:left w:w="28" w:type="dxa"/>
          <w:bottom w:w="28" w:type="dxa"/>
          <w:right w:w="28" w:type="dxa"/>
        </w:tblCellMar>
      </w:tblPr>
      <w:tblGrid>
        <w:gridCol w:w="4916"/>
        <w:gridCol w:w="226"/>
        <w:gridCol w:w="771"/>
        <w:gridCol w:w="146"/>
        <w:gridCol w:w="146"/>
        <w:gridCol w:w="226"/>
        <w:gridCol w:w="771"/>
        <w:gridCol w:w="146"/>
        <w:gridCol w:w="146"/>
        <w:gridCol w:w="226"/>
        <w:gridCol w:w="886"/>
        <w:gridCol w:w="146"/>
        <w:gridCol w:w="146"/>
        <w:gridCol w:w="226"/>
        <w:gridCol w:w="886"/>
        <w:gridCol w:w="195"/>
      </w:tblGrid>
      <w:tr>
        <w:trPr/>
        <w:tc>
          <w:tcPr>
            <w:tcW w:w="4916" w:type="dxa"/>
            <w:tcBorders/>
            <w:vAlign w:val="center"/>
          </w:tcPr>
          <w:p>
            <w:pPr>
              <w:pStyle w:val="TableContents"/>
              <w:bidi w:val="0"/>
              <w:spacing w:before="0" w:after="283"/>
              <w:jc w:val="center"/>
              <w:rPr/>
            </w:pPr>
            <w:r>
              <w:rPr/>
              <w:t> </w:t>
            </w:r>
          </w:p>
        </w:tc>
        <w:tc>
          <w:tcPr>
            <w:tcW w:w="228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br/>
            </w:r>
            <w:r>
              <w:rPr>
                <w:rStyle w:val="StrongEmphasis"/>
              </w:rPr>
              <w:t>July 31,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51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Fiscal Year Ended</w:t>
            </w:r>
            <w:r>
              <w:rPr/>
              <w:br/>
            </w:r>
            <w:r>
              <w:rPr>
                <w:rStyle w:val="StrongEmphasis"/>
              </w:rPr>
              <w:t>July 31,</w:t>
            </w:r>
          </w:p>
        </w:tc>
        <w:tc>
          <w:tcPr>
            <w:tcW w:w="19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916" w:type="dxa"/>
            <w:tcBorders/>
            <w:vAlign w:val="center"/>
          </w:tcPr>
          <w:p>
            <w:pPr>
              <w:pStyle w:val="TableContents"/>
              <w:bidi w:val="0"/>
              <w:spacing w:before="0" w:after="283"/>
              <w:jc w:val="center"/>
              <w:rPr/>
            </w:pPr>
            <w:r>
              <w:rPr/>
              <w:t> </w:t>
            </w:r>
          </w:p>
        </w:tc>
        <w:tc>
          <w:tcPr>
            <w:tcW w:w="99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9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9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r>
      <w:tr>
        <w:trPr/>
        <w:tc>
          <w:tcPr>
            <w:tcW w:w="4916" w:type="dxa"/>
            <w:tcBorders/>
            <w:vAlign w:val="center"/>
          </w:tcPr>
          <w:p>
            <w:pPr>
              <w:pStyle w:val="TableContents"/>
              <w:bidi w:val="0"/>
              <w:spacing w:before="0" w:after="283"/>
              <w:jc w:val="center"/>
              <w:rPr/>
            </w:pPr>
            <w:r>
              <w:rPr/>
              <w:t> </w:t>
            </w:r>
          </w:p>
        </w:tc>
        <w:tc>
          <w:tcPr>
            <w:tcW w:w="5094" w:type="dxa"/>
            <w:gridSpan w:val="14"/>
            <w:tcBorders/>
            <w:vAlign w:val="center"/>
          </w:tcPr>
          <w:p>
            <w:pPr>
              <w:pStyle w:val="TableContents"/>
              <w:bidi w:val="0"/>
              <w:spacing w:before="0" w:after="283"/>
              <w:jc w:val="center"/>
              <w:rPr/>
            </w:pPr>
            <w:r>
              <w:rPr>
                <w:rStyle w:val="StrongEmphasis"/>
              </w:rPr>
              <w:t>(in thousands)</w:t>
            </w:r>
          </w:p>
        </w:tc>
        <w:tc>
          <w:tcPr>
            <w:tcW w:w="195" w:type="dxa"/>
            <w:tcBorders/>
            <w:vAlign w:val="center"/>
          </w:tcPr>
          <w:p>
            <w:pPr>
              <w:pStyle w:val="TableContents"/>
              <w:bidi w:val="0"/>
              <w:spacing w:before="0" w:after="283"/>
              <w:jc w:val="center"/>
              <w:rPr/>
            </w:pPr>
            <w:r>
              <w:rPr/>
              <w:t> </w:t>
            </w:r>
          </w:p>
        </w:tc>
      </w:tr>
      <w:tr>
        <w:trPr/>
        <w:tc>
          <w:tcPr>
            <w:tcW w:w="4916" w:type="dxa"/>
            <w:tcBorders/>
            <w:vAlign w:val="center"/>
          </w:tcPr>
          <w:p>
            <w:pPr>
              <w:pStyle w:val="TableContents"/>
              <w:bidi w:val="0"/>
              <w:spacing w:before="0" w:after="283"/>
              <w:jc w:val="left"/>
              <w:rPr/>
            </w:pPr>
            <w:r>
              <w:rPr/>
              <w:t>Product cost of revenue</w:t>
            </w:r>
          </w:p>
        </w:tc>
        <w:tc>
          <w:tcPr>
            <w:tcW w:w="226" w:type="dxa"/>
            <w:tcBorders/>
            <w:vAlign w:val="center"/>
          </w:tcPr>
          <w:p>
            <w:pPr>
              <w:pStyle w:val="TableContents"/>
              <w:bidi w:val="0"/>
              <w:spacing w:before="0" w:after="283"/>
              <w:jc w:val="left"/>
              <w:rPr/>
            </w:pPr>
            <w:r>
              <w:rPr/>
              <w:t>$</w:t>
            </w:r>
          </w:p>
        </w:tc>
        <w:tc>
          <w:tcPr>
            <w:tcW w:w="771" w:type="dxa"/>
            <w:tcBorders/>
            <w:vAlign w:val="center"/>
          </w:tcPr>
          <w:p>
            <w:pPr>
              <w:pStyle w:val="TableContents"/>
              <w:bidi w:val="0"/>
              <w:spacing w:before="0" w:after="283"/>
              <w:jc w:val="right"/>
              <w:rPr/>
            </w:pPr>
            <w:r>
              <w:rPr/>
              <w:t>399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71" w:type="dxa"/>
            <w:tcBorders/>
            <w:vAlign w:val="center"/>
          </w:tcPr>
          <w:p>
            <w:pPr>
              <w:pStyle w:val="TableContents"/>
              <w:bidi w:val="0"/>
              <w:spacing w:before="0" w:after="283"/>
              <w:jc w:val="right"/>
              <w:rPr/>
            </w:pPr>
            <w:r>
              <w:rPr/>
              <w:t>400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2,824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1,550</w:t>
            </w:r>
          </w:p>
        </w:tc>
        <w:tc>
          <w:tcPr>
            <w:tcW w:w="195" w:type="dxa"/>
            <w:tcBorders/>
            <w:vAlign w:val="center"/>
          </w:tcPr>
          <w:p>
            <w:pPr>
              <w:pStyle w:val="TableContents"/>
              <w:bidi w:val="0"/>
              <w:spacing w:before="0" w:after="283"/>
              <w:jc w:val="left"/>
              <w:rPr/>
            </w:pPr>
            <w:r>
              <w:rPr/>
              <w:t> </w:t>
            </w:r>
          </w:p>
        </w:tc>
      </w:tr>
      <w:tr>
        <w:trPr/>
        <w:tc>
          <w:tcPr>
            <w:tcW w:w="4916" w:type="dxa"/>
            <w:tcBorders/>
            <w:vAlign w:val="center"/>
          </w:tcPr>
          <w:p>
            <w:pPr>
              <w:pStyle w:val="TableContents"/>
              <w:bidi w:val="0"/>
              <w:spacing w:before="0" w:after="283"/>
              <w:jc w:val="left"/>
              <w:rPr/>
            </w:pPr>
            <w:r>
              <w:rPr/>
              <w:t>Support, maintenance and other services cost of revenue</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6,814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8,058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27,582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28,190</w:t>
            </w:r>
          </w:p>
        </w:tc>
        <w:tc>
          <w:tcPr>
            <w:tcW w:w="195" w:type="dxa"/>
            <w:tcBorders/>
            <w:vAlign w:val="center"/>
          </w:tcPr>
          <w:p>
            <w:pPr>
              <w:pStyle w:val="TableContents"/>
              <w:bidi w:val="0"/>
              <w:spacing w:before="0" w:after="283"/>
              <w:jc w:val="left"/>
              <w:rPr/>
            </w:pPr>
            <w:r>
              <w:rPr/>
              <w:t> </w:t>
            </w:r>
          </w:p>
        </w:tc>
      </w:tr>
      <w:tr>
        <w:trPr/>
        <w:tc>
          <w:tcPr>
            <w:tcW w:w="4916" w:type="dxa"/>
            <w:tcBorders/>
            <w:vAlign w:val="center"/>
          </w:tcPr>
          <w:p>
            <w:pPr>
              <w:pStyle w:val="TableContents"/>
              <w:bidi w:val="0"/>
              <w:spacing w:before="0" w:after="283"/>
              <w:jc w:val="left"/>
              <w:rPr/>
            </w:pPr>
            <w:r>
              <w:rPr/>
              <w:t>Sales and marketing</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19,372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22,332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80,930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82,402</w:t>
            </w:r>
          </w:p>
        </w:tc>
        <w:tc>
          <w:tcPr>
            <w:tcW w:w="195" w:type="dxa"/>
            <w:tcBorders/>
            <w:vAlign w:val="center"/>
          </w:tcPr>
          <w:p>
            <w:pPr>
              <w:pStyle w:val="TableContents"/>
              <w:bidi w:val="0"/>
              <w:spacing w:before="0" w:after="283"/>
              <w:jc w:val="left"/>
              <w:rPr/>
            </w:pPr>
            <w:r>
              <w:rPr/>
              <w:t> </w:t>
            </w:r>
          </w:p>
        </w:tc>
      </w:tr>
      <w:tr>
        <w:trPr/>
        <w:tc>
          <w:tcPr>
            <w:tcW w:w="4916" w:type="dxa"/>
            <w:tcBorders/>
            <w:vAlign w:val="center"/>
          </w:tcPr>
          <w:p>
            <w:pPr>
              <w:pStyle w:val="TableContents"/>
              <w:bidi w:val="0"/>
              <w:spacing w:before="0" w:after="283"/>
              <w:jc w:val="left"/>
              <w:rPr/>
            </w:pPr>
            <w:r>
              <w:rPr/>
              <w:t>Research and development</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42,872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45,481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175,361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180,844</w:t>
            </w:r>
          </w:p>
        </w:tc>
        <w:tc>
          <w:tcPr>
            <w:tcW w:w="195" w:type="dxa"/>
            <w:tcBorders/>
            <w:vAlign w:val="center"/>
          </w:tcPr>
          <w:p>
            <w:pPr>
              <w:pStyle w:val="TableContents"/>
              <w:bidi w:val="0"/>
              <w:spacing w:before="0" w:after="283"/>
              <w:jc w:val="left"/>
              <w:rPr/>
            </w:pPr>
            <w:r>
              <w:rPr/>
              <w:t> </w:t>
            </w:r>
          </w:p>
        </w:tc>
      </w:tr>
      <w:tr>
        <w:trPr/>
        <w:tc>
          <w:tcPr>
            <w:tcW w:w="4916" w:type="dxa"/>
            <w:tcBorders/>
            <w:vAlign w:val="center"/>
          </w:tcPr>
          <w:p>
            <w:pPr>
              <w:pStyle w:val="TableContents"/>
              <w:bidi w:val="0"/>
              <w:spacing w:before="0" w:after="283"/>
              <w:jc w:val="left"/>
              <w:rPr/>
            </w:pPr>
            <w:r>
              <w:rPr/>
              <w:t>General and administrative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15,714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18,254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64,893</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64,681</w:t>
            </w:r>
          </w:p>
        </w:tc>
        <w:tc>
          <w:tcPr>
            <w:tcW w:w="19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16" w:type="dxa"/>
            <w:tcBorders/>
            <w:tcMar>
              <w:top w:w="0" w:type="dxa"/>
              <w:left w:w="0" w:type="dxa"/>
              <w:bottom w:w="0" w:type="dxa"/>
              <w:right w:w="0" w:type="dxa"/>
            </w:tcMar>
            <w:vAlign w:val="center"/>
          </w:tcPr>
          <w:p>
            <w:pPr>
              <w:pStyle w:val="TableContents"/>
              <w:bidi w:val="0"/>
              <w:spacing w:before="0" w:after="283"/>
              <w:jc w:val="left"/>
              <w:rPr/>
            </w:pPr>
            <w:r>
              <w:rPr/>
              <w:t>Total stock-based compensation expense</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85,171</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94,525</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351,590</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357,667</w:t>
            </w:r>
          </w:p>
        </w:tc>
        <w:tc>
          <w:tcPr>
            <w:tcW w:w="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t>__________________________</w:t>
        <w:br/>
        <w:t>(2) Includes the following amortization of intangible assets:</w:t>
      </w:r>
    </w:p>
    <w:tbl>
      <w:tblPr>
        <w:tblW w:w="8463" w:type="dxa"/>
        <w:jc w:val="center"/>
        <w:tblInd w:w="0" w:type="dxa"/>
        <w:tblLayout w:type="fixed"/>
        <w:tblCellMar>
          <w:top w:w="28" w:type="dxa"/>
          <w:left w:w="28" w:type="dxa"/>
          <w:bottom w:w="28" w:type="dxa"/>
          <w:right w:w="28" w:type="dxa"/>
        </w:tblCellMar>
      </w:tblPr>
      <w:tblGrid>
        <w:gridCol w:w="3691"/>
        <w:gridCol w:w="309"/>
        <w:gridCol w:w="638"/>
        <w:gridCol w:w="200"/>
        <w:gridCol w:w="200"/>
        <w:gridCol w:w="309"/>
        <w:gridCol w:w="638"/>
        <w:gridCol w:w="146"/>
        <w:gridCol w:w="146"/>
        <w:gridCol w:w="243"/>
        <w:gridCol w:w="694"/>
        <w:gridCol w:w="157"/>
        <w:gridCol w:w="157"/>
        <w:gridCol w:w="243"/>
        <w:gridCol w:w="501"/>
        <w:gridCol w:w="191"/>
      </w:tblGrid>
      <w:tr>
        <w:trPr/>
        <w:tc>
          <w:tcPr>
            <w:tcW w:w="3691" w:type="dxa"/>
            <w:tcBorders/>
            <w:vAlign w:val="center"/>
          </w:tcPr>
          <w:p>
            <w:pPr>
              <w:pStyle w:val="TableContents"/>
              <w:bidi w:val="0"/>
              <w:spacing w:before="0" w:after="283"/>
              <w:jc w:val="center"/>
              <w:rPr/>
            </w:pPr>
            <w:r>
              <w:rPr/>
              <w:t> </w:t>
            </w:r>
          </w:p>
        </w:tc>
        <w:tc>
          <w:tcPr>
            <w:tcW w:w="2294"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br/>
            </w:r>
            <w:r>
              <w:rPr>
                <w:rStyle w:val="StrongEmphasis"/>
              </w:rPr>
              <w:t>July 31,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995"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Fiscal Year Ended</w:t>
            </w:r>
            <w:r>
              <w:rPr/>
              <w:br/>
            </w:r>
            <w:r>
              <w:rPr>
                <w:rStyle w:val="StrongEmphasis"/>
              </w:rPr>
              <w:t>July 31,</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91" w:type="dxa"/>
            <w:tcBorders/>
            <w:vAlign w:val="center"/>
          </w:tcPr>
          <w:p>
            <w:pPr>
              <w:pStyle w:val="TableContents"/>
              <w:bidi w:val="0"/>
              <w:spacing w:before="0" w:after="283"/>
              <w:jc w:val="center"/>
              <w:rPr/>
            </w:pPr>
            <w:r>
              <w:rPr/>
              <w:t> </w:t>
            </w:r>
          </w:p>
        </w:tc>
        <w:tc>
          <w:tcPr>
            <w:tcW w:w="94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0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20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4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5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4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r>
      <w:tr>
        <w:trPr/>
        <w:tc>
          <w:tcPr>
            <w:tcW w:w="3691" w:type="dxa"/>
            <w:tcBorders/>
            <w:vAlign w:val="center"/>
          </w:tcPr>
          <w:p>
            <w:pPr>
              <w:pStyle w:val="TableContents"/>
              <w:bidi w:val="0"/>
              <w:spacing w:before="0" w:after="283"/>
              <w:jc w:val="center"/>
              <w:rPr/>
            </w:pPr>
            <w:r>
              <w:rPr/>
              <w:t> </w:t>
            </w:r>
          </w:p>
        </w:tc>
        <w:tc>
          <w:tcPr>
            <w:tcW w:w="4581" w:type="dxa"/>
            <w:gridSpan w:val="14"/>
            <w:tcBorders/>
            <w:vAlign w:val="center"/>
          </w:tcPr>
          <w:p>
            <w:pPr>
              <w:pStyle w:val="TableContents"/>
              <w:bidi w:val="0"/>
              <w:spacing w:before="0" w:after="283"/>
              <w:jc w:val="center"/>
              <w:rPr/>
            </w:pPr>
            <w:r>
              <w:rPr>
                <w:rStyle w:val="StrongEmphasis"/>
              </w:rPr>
              <w:t>(in thousands)</w:t>
            </w:r>
          </w:p>
        </w:tc>
        <w:tc>
          <w:tcPr>
            <w:tcW w:w="191" w:type="dxa"/>
            <w:tcBorders/>
            <w:vAlign w:val="center"/>
          </w:tcPr>
          <w:p>
            <w:pPr>
              <w:pStyle w:val="TableContents"/>
              <w:bidi w:val="0"/>
              <w:spacing w:before="0" w:after="283"/>
              <w:jc w:val="center"/>
              <w:rPr/>
            </w:pPr>
            <w:r>
              <w:rPr/>
              <w:t> </w:t>
            </w:r>
          </w:p>
        </w:tc>
      </w:tr>
      <w:tr>
        <w:trPr/>
        <w:tc>
          <w:tcPr>
            <w:tcW w:w="3691" w:type="dxa"/>
            <w:tcBorders/>
            <w:vAlign w:val="center"/>
          </w:tcPr>
          <w:p>
            <w:pPr>
              <w:pStyle w:val="TableContents"/>
              <w:bidi w:val="0"/>
              <w:spacing w:before="0" w:after="283"/>
              <w:jc w:val="left"/>
              <w:rPr/>
            </w:pPr>
            <w:r>
              <w:rPr/>
              <w:t>Product cost of revenue</w:t>
            </w:r>
          </w:p>
        </w:tc>
        <w:tc>
          <w:tcPr>
            <w:tcW w:w="309" w:type="dxa"/>
            <w:tcBorders/>
            <w:vAlign w:val="center"/>
          </w:tcPr>
          <w:p>
            <w:pPr>
              <w:pStyle w:val="TableContents"/>
              <w:bidi w:val="0"/>
              <w:spacing w:before="0" w:after="283"/>
              <w:jc w:val="left"/>
              <w:rPr/>
            </w:pPr>
            <w:r>
              <w:rPr/>
              <w:t>$</w:t>
            </w:r>
          </w:p>
        </w:tc>
        <w:tc>
          <w:tcPr>
            <w:tcW w:w="638" w:type="dxa"/>
            <w:tcBorders/>
            <w:vAlign w:val="center"/>
          </w:tcPr>
          <w:p>
            <w:pPr>
              <w:pStyle w:val="TableContents"/>
              <w:bidi w:val="0"/>
              <w:spacing w:before="0" w:after="283"/>
              <w:jc w:val="right"/>
              <w:rPr/>
            </w:pPr>
            <w:r>
              <w:rPr/>
              <w:t>105</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w:t>
            </w:r>
          </w:p>
        </w:tc>
        <w:tc>
          <w:tcPr>
            <w:tcW w:w="638" w:type="dxa"/>
            <w:tcBorders/>
            <w:vAlign w:val="center"/>
          </w:tcPr>
          <w:p>
            <w:pPr>
              <w:pStyle w:val="TableContents"/>
              <w:bidi w:val="0"/>
              <w:spacing w:before="0" w:after="283"/>
              <w:jc w:val="right"/>
              <w:rPr/>
            </w:pPr>
            <w:r>
              <w:rPr/>
              <w:t>106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694" w:type="dxa"/>
            <w:tcBorders/>
            <w:vAlign w:val="center"/>
          </w:tcPr>
          <w:p>
            <w:pPr>
              <w:pStyle w:val="TableContents"/>
              <w:bidi w:val="0"/>
              <w:spacing w:before="0" w:after="283"/>
              <w:jc w:val="right"/>
              <w:rPr/>
            </w:pPr>
            <w:r>
              <w:rPr/>
              <w:t>2,185</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501" w:type="dxa"/>
            <w:tcBorders/>
            <w:vAlign w:val="center"/>
          </w:tcPr>
          <w:p>
            <w:pPr>
              <w:pStyle w:val="TableContents"/>
              <w:bidi w:val="0"/>
              <w:spacing w:before="0" w:after="283"/>
              <w:jc w:val="right"/>
              <w:rPr/>
            </w:pPr>
            <w:r>
              <w:rPr/>
              <w:t>424</w:t>
            </w:r>
          </w:p>
        </w:tc>
        <w:tc>
          <w:tcPr>
            <w:tcW w:w="191" w:type="dxa"/>
            <w:tcBorders/>
            <w:vAlign w:val="center"/>
          </w:tcPr>
          <w:p>
            <w:pPr>
              <w:pStyle w:val="TableContents"/>
              <w:bidi w:val="0"/>
              <w:spacing w:before="0" w:after="283"/>
              <w:jc w:val="left"/>
              <w:rPr/>
            </w:pPr>
            <w:r>
              <w:rPr/>
              <w:t> </w:t>
            </w:r>
          </w:p>
        </w:tc>
      </w:tr>
      <w:tr>
        <w:trPr/>
        <w:tc>
          <w:tcPr>
            <w:tcW w:w="3691" w:type="dxa"/>
            <w:tcBorders/>
            <w:vAlign w:val="center"/>
          </w:tcPr>
          <w:p>
            <w:pPr>
              <w:pStyle w:val="TableContents"/>
              <w:bidi w:val="0"/>
              <w:spacing w:before="0" w:after="283"/>
              <w:jc w:val="left"/>
              <w:rPr/>
            </w:pPr>
            <w:r>
              <w:rPr/>
              <w:t>Sales and marketing</w:t>
            </w:r>
          </w:p>
        </w:tc>
        <w:tc>
          <w:tcPr>
            <w:tcW w:w="3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88</w:t>
            </w:r>
          </w:p>
        </w:tc>
        <w:tc>
          <w:tcPr>
            <w:tcW w:w="20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3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353</w:t>
            </w:r>
          </w:p>
        </w:tc>
        <w:tc>
          <w:tcPr>
            <w:tcW w:w="1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354</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91" w:type="dxa"/>
            <w:tcBorders/>
            <w:tcMar>
              <w:top w:w="0" w:type="dxa"/>
              <w:left w:w="0" w:type="dxa"/>
              <w:bottom w:w="0" w:type="dxa"/>
              <w:right w:w="0" w:type="dxa"/>
            </w:tcMar>
            <w:vAlign w:val="center"/>
          </w:tcPr>
          <w:p>
            <w:pPr>
              <w:pStyle w:val="TableContents"/>
              <w:bidi w:val="0"/>
              <w:spacing w:before="0" w:after="283"/>
              <w:jc w:val="left"/>
              <w:rPr/>
            </w:pPr>
            <w:r>
              <w:rPr/>
              <w:t>Total amortization of intangible assets</w:t>
            </w:r>
          </w:p>
        </w:tc>
        <w:tc>
          <w:tcPr>
            <w:tcW w:w="3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193</w:t>
            </w:r>
          </w:p>
        </w:tc>
        <w:tc>
          <w:tcPr>
            <w:tcW w:w="20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30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196</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69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2,538</w:t>
            </w:r>
          </w:p>
        </w:tc>
        <w:tc>
          <w:tcPr>
            <w:tcW w:w="15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4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5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778</w:t>
            </w:r>
          </w:p>
        </w:tc>
        <w:tc>
          <w:tcPr>
            <w:tcW w:w="1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r>
    </w:p>
    <w:p>
      <w:pPr>
        <w:pStyle w:val="TextBody"/>
        <w:bidi w:val="0"/>
        <w:jc w:val="left"/>
        <w:rPr/>
      </w:pPr>
      <w:r>
        <w:rPr/>
      </w:r>
    </w:p>
    <w:tbl>
      <w:tblPr>
        <w:tblW w:w="10205" w:type="dxa"/>
        <w:jc w:val="center"/>
        <w:tblInd w:w="0" w:type="dxa"/>
        <w:tblLayout w:type="fixed"/>
        <w:tblCellMar>
          <w:top w:w="28" w:type="dxa"/>
          <w:left w:w="28" w:type="dxa"/>
          <w:bottom w:w="28" w:type="dxa"/>
          <w:right w:w="28" w:type="dxa"/>
        </w:tblCellMar>
      </w:tblPr>
      <w:tblGrid>
        <w:gridCol w:w="6918"/>
        <w:gridCol w:w="226"/>
        <w:gridCol w:w="1141"/>
        <w:gridCol w:w="181"/>
        <w:gridCol w:w="146"/>
        <w:gridCol w:w="226"/>
        <w:gridCol w:w="1141"/>
        <w:gridCol w:w="226"/>
      </w:tblGrid>
      <w:tr>
        <w:trPr/>
        <w:tc>
          <w:tcPr>
            <w:tcW w:w="10205" w:type="dxa"/>
            <w:gridSpan w:val="8"/>
            <w:tcBorders/>
            <w:vAlign w:val="center"/>
          </w:tcPr>
          <w:p>
            <w:pPr>
              <w:pStyle w:val="TableContents"/>
              <w:bidi w:val="0"/>
              <w:spacing w:before="0" w:after="283"/>
              <w:jc w:val="center"/>
              <w:rPr/>
            </w:pPr>
            <w:r>
              <w:rPr>
                <w:rStyle w:val="StrongEmphasis"/>
              </w:rPr>
              <w:t>NUTANIX, INC.</w:t>
              <w:br/>
              <w:t>CONSOLIDATED STATEMENTS OF CASH FLOWS</w:t>
              <w:br/>
              <w:t>(Unaudited)</w:t>
            </w:r>
          </w:p>
        </w:tc>
      </w:tr>
      <w:tr>
        <w:trPr/>
        <w:tc>
          <w:tcPr>
            <w:tcW w:w="6918" w:type="dxa"/>
            <w:tcBorders/>
            <w:vAlign w:val="center"/>
          </w:tcPr>
          <w:p>
            <w:pPr>
              <w:pStyle w:val="TableContents"/>
              <w:bidi w:val="0"/>
              <w:spacing w:before="0" w:after="283"/>
              <w:jc w:val="left"/>
              <w:rPr/>
            </w:pPr>
            <w:r>
              <w:rPr/>
              <w:t> </w:t>
            </w:r>
          </w:p>
        </w:tc>
        <w:tc>
          <w:tcPr>
            <w:tcW w:w="3061" w:type="dxa"/>
            <w:gridSpan w:val="6"/>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center"/>
              <w:rPr/>
            </w:pPr>
            <w:r>
              <w:rPr/>
              <w:t> </w:t>
            </w:r>
          </w:p>
        </w:tc>
        <w:tc>
          <w:tcPr>
            <w:tcW w:w="306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Fiscal Year Ended</w:t>
            </w:r>
            <w:r>
              <w:rPr/>
              <w:br/>
            </w:r>
            <w:r>
              <w:rPr>
                <w:rStyle w:val="StrongEmphasis"/>
              </w:rPr>
              <w:t>July 31,</w:t>
            </w:r>
          </w:p>
        </w:tc>
        <w:tc>
          <w:tcPr>
            <w:tcW w:w="226" w:type="dxa"/>
            <w:tcBorders/>
            <w:vAlign w:val="center"/>
          </w:tcPr>
          <w:p>
            <w:pPr>
              <w:pStyle w:val="TableContents"/>
              <w:bidi w:val="0"/>
              <w:spacing w:before="0" w:after="283"/>
              <w:jc w:val="center"/>
              <w:rPr/>
            </w:pPr>
            <w:r>
              <w:rPr/>
              <w:t> </w:t>
            </w:r>
          </w:p>
        </w:tc>
      </w:tr>
      <w:tr>
        <w:trPr/>
        <w:tc>
          <w:tcPr>
            <w:tcW w:w="6918" w:type="dxa"/>
            <w:tcBorders/>
            <w:vAlign w:val="center"/>
          </w:tcPr>
          <w:p>
            <w:pPr>
              <w:pStyle w:val="TableContents"/>
              <w:bidi w:val="0"/>
              <w:spacing w:before="0" w:after="283"/>
              <w:jc w:val="center"/>
              <w:rPr/>
            </w:pPr>
            <w:r>
              <w:rPr/>
              <w:t> </w:t>
            </w:r>
          </w:p>
        </w:tc>
        <w:tc>
          <w:tcPr>
            <w:tcW w:w="13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226" w:type="dxa"/>
            <w:tcBorders/>
            <w:vAlign w:val="center"/>
          </w:tcPr>
          <w:p>
            <w:pPr>
              <w:pStyle w:val="TableContents"/>
              <w:bidi w:val="0"/>
              <w:spacing w:before="0" w:after="283"/>
              <w:jc w:val="center"/>
              <w:rPr/>
            </w:pPr>
            <w:r>
              <w:rPr/>
              <w:t> </w:t>
            </w:r>
          </w:p>
        </w:tc>
      </w:tr>
      <w:tr>
        <w:trPr/>
        <w:tc>
          <w:tcPr>
            <w:tcW w:w="6918" w:type="dxa"/>
            <w:tcBorders/>
            <w:vAlign w:val="center"/>
          </w:tcPr>
          <w:p>
            <w:pPr>
              <w:pStyle w:val="TableContents"/>
              <w:bidi w:val="0"/>
              <w:spacing w:before="0" w:after="283"/>
              <w:jc w:val="center"/>
              <w:rPr/>
            </w:pPr>
            <w:r>
              <w:rPr/>
              <w:t> </w:t>
            </w:r>
          </w:p>
        </w:tc>
        <w:tc>
          <w:tcPr>
            <w:tcW w:w="3061" w:type="dxa"/>
            <w:gridSpan w:val="6"/>
            <w:tcBorders/>
            <w:vAlign w:val="center"/>
          </w:tcPr>
          <w:p>
            <w:pPr>
              <w:pStyle w:val="TableContents"/>
              <w:bidi w:val="0"/>
              <w:spacing w:before="0" w:after="283"/>
              <w:jc w:val="center"/>
              <w:rPr/>
            </w:pPr>
            <w:r>
              <w:rPr>
                <w:rStyle w:val="StrongEmphasis"/>
              </w:rPr>
              <w:t>(in thousands)</w:t>
            </w:r>
          </w:p>
        </w:tc>
        <w:tc>
          <w:tcPr>
            <w:tcW w:w="226" w:type="dxa"/>
            <w:tcBorders/>
            <w:vAlign w:val="center"/>
          </w:tcPr>
          <w:p>
            <w:pPr>
              <w:pStyle w:val="TableContents"/>
              <w:bidi w:val="0"/>
              <w:spacing w:before="0" w:after="283"/>
              <w:jc w:val="center"/>
              <w:rPr/>
            </w:pPr>
            <w:r>
              <w:rPr/>
              <w:t> </w:t>
            </w:r>
          </w:p>
        </w:tc>
      </w:tr>
      <w:tr>
        <w:trPr/>
        <w:tc>
          <w:tcPr>
            <w:tcW w:w="6918" w:type="dxa"/>
            <w:tcBorders/>
            <w:vAlign w:val="center"/>
          </w:tcPr>
          <w:p>
            <w:pPr>
              <w:pStyle w:val="TableContents"/>
              <w:bidi w:val="0"/>
              <w:spacing w:before="0" w:after="283"/>
              <w:jc w:val="left"/>
              <w:rPr/>
            </w:pPr>
            <w:r>
              <w:rPr>
                <w:rStyle w:val="StrongEmphasis"/>
              </w:rPr>
              <w:t>Cash flows from operating activities:</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Net income</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188,366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1,506,837</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Adjustments to reconcile net income to net cash provided by operating activities:</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72,701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70,640</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351,590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357,667</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Amortization of debt discount and issuance costs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3,877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5,452</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Inducement expense from partial repurchase of the 2027 Notes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11,347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Operating lease cost, net of accretion</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29,029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34,946</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Deferred income taxes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3,639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(1,198,850</w:t>
            </w:r>
          </w:p>
        </w:tc>
        <w:tc>
          <w:tcPr>
            <w:tcW w:w="226" w:type="dxa"/>
            <w:tcBorders/>
            <w:vAlign w:val="center"/>
          </w:tcPr>
          <w:p>
            <w:pPr>
              <w:pStyle w:val="TableContents"/>
              <w:bidi w:val="0"/>
              <w:spacing w:before="0" w:after="283"/>
              <w:jc w:val="left"/>
              <w:rPr/>
            </w:pPr>
            <w:r>
              <w:rPr/>
              <w:t>)</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Other</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(8,468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(4,792</w:t>
            </w:r>
          </w:p>
        </w:tc>
        <w:tc>
          <w:tcPr>
            <w:tcW w:w="226" w:type="dxa"/>
            <w:tcBorders/>
            <w:vAlign w:val="center"/>
          </w:tcPr>
          <w:p>
            <w:pPr>
              <w:pStyle w:val="TableContents"/>
              <w:bidi w:val="0"/>
              <w:spacing w:before="0" w:after="283"/>
              <w:jc w:val="left"/>
              <w:rPr/>
            </w:pPr>
            <w:r>
              <w:rPr/>
              <w:t>)</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Changes in operating assets and liabilities:</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Accounts receivable, net</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(71,886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(39,170</w:t>
            </w:r>
          </w:p>
        </w:tc>
        <w:tc>
          <w:tcPr>
            <w:tcW w:w="226" w:type="dxa"/>
            <w:tcBorders/>
            <w:vAlign w:val="center"/>
          </w:tcPr>
          <w:p>
            <w:pPr>
              <w:pStyle w:val="TableContents"/>
              <w:bidi w:val="0"/>
              <w:spacing w:before="0" w:after="283"/>
              <w:jc w:val="left"/>
              <w:rPr/>
            </w:pPr>
            <w:r>
              <w:rPr/>
              <w:t>)</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Deferred commissions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16,517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(31,630</w:t>
            </w:r>
          </w:p>
        </w:tc>
        <w:tc>
          <w:tcPr>
            <w:tcW w:w="226" w:type="dxa"/>
            <w:tcBorders/>
            <w:vAlign w:val="center"/>
          </w:tcPr>
          <w:p>
            <w:pPr>
              <w:pStyle w:val="TableContents"/>
              <w:bidi w:val="0"/>
              <w:spacing w:before="0" w:after="283"/>
              <w:jc w:val="left"/>
              <w:rPr/>
            </w:pPr>
            <w:r>
              <w:rPr/>
              <w:t>)</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Prepaid expenses and other assets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(8,101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(130,217</w:t>
            </w:r>
          </w:p>
        </w:tc>
        <w:tc>
          <w:tcPr>
            <w:tcW w:w="226" w:type="dxa"/>
            <w:tcBorders/>
            <w:vAlign w:val="center"/>
          </w:tcPr>
          <w:p>
            <w:pPr>
              <w:pStyle w:val="TableContents"/>
              <w:bidi w:val="0"/>
              <w:spacing w:before="0" w:after="283"/>
              <w:jc w:val="left"/>
              <w:rPr/>
            </w:pPr>
            <w:r>
              <w:rPr/>
              <w:t>)</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Accounts payable</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30,018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19,443</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Accrued compensation and benefits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33,286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44,492</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Accrued expenses and other liabilities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(4,269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709</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Operating leases, net</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(29,954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(33,813</w:t>
            </w:r>
          </w:p>
        </w:tc>
        <w:tc>
          <w:tcPr>
            <w:tcW w:w="226" w:type="dxa"/>
            <w:tcBorders/>
            <w:vAlign w:val="center"/>
          </w:tcPr>
          <w:p>
            <w:pPr>
              <w:pStyle w:val="TableContents"/>
              <w:bidi w:val="0"/>
              <w:spacing w:before="0" w:after="283"/>
              <w:jc w:val="left"/>
              <w:rPr/>
            </w:pPr>
            <w:r>
              <w:rPr/>
              <w:t>)</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Deferred revenue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203,764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314,974</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Net cash provided by operating activities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821,456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916,688</w:t>
            </w:r>
          </w:p>
        </w:tc>
        <w:tc>
          <w:tcPr>
            <w:tcW w:w="226" w:type="dxa"/>
            <w:tcBorders/>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rStyle w:val="StrongEmphasis"/>
              </w:rPr>
              <w:t>Cash flows from investing activities:</w:t>
            </w:r>
          </w:p>
        </w:tc>
        <w:tc>
          <w:tcPr>
            <w:tcW w:w="13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Maturities of investments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476,173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805,208</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(1,359,593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(1,167,799</w:t>
            </w:r>
          </w:p>
        </w:tc>
        <w:tc>
          <w:tcPr>
            <w:tcW w:w="226" w:type="dxa"/>
            <w:tcBorders/>
            <w:vAlign w:val="center"/>
          </w:tcPr>
          <w:p>
            <w:pPr>
              <w:pStyle w:val="TableContents"/>
              <w:bidi w:val="0"/>
              <w:spacing w:before="0" w:after="283"/>
              <w:jc w:val="left"/>
              <w:rPr/>
            </w:pPr>
            <w:r>
              <w:rPr/>
              <w:t>)</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Sales of investments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3,016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2,750</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Purchases of property and equipment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(71,283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(76,013</w:t>
            </w:r>
          </w:p>
        </w:tc>
        <w:tc>
          <w:tcPr>
            <w:tcW w:w="226" w:type="dxa"/>
            <w:tcBorders/>
            <w:vAlign w:val="center"/>
          </w:tcPr>
          <w:p>
            <w:pPr>
              <w:pStyle w:val="TableContents"/>
              <w:bidi w:val="0"/>
              <w:spacing w:before="0" w:after="283"/>
              <w:jc w:val="left"/>
              <w:rPr/>
            </w:pPr>
            <w:r>
              <w:rPr/>
              <w:t>)</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Net cash used in investing activities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(951,687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(435,854</w:t>
            </w:r>
          </w:p>
        </w:tc>
        <w:tc>
          <w:tcPr>
            <w:tcW w:w="226" w:type="dxa"/>
            <w:tcBorders/>
            <w:vAlign w:val="center"/>
          </w:tcPr>
          <w:p>
            <w:pPr>
              <w:pStyle w:val="TableContents"/>
              <w:bidi w:val="0"/>
              <w:spacing w:before="0" w:after="283"/>
              <w:jc w:val="left"/>
              <w:rPr/>
            </w:pPr>
            <w:r>
              <w:rPr/>
              <w:t>)</w:t>
            </w:r>
          </w:p>
        </w:tc>
      </w:tr>
      <w:tr>
        <w:trPr/>
        <w:tc>
          <w:tcPr>
            <w:tcW w:w="6918" w:type="dxa"/>
            <w:tcBorders/>
            <w:vAlign w:val="center"/>
          </w:tcPr>
          <w:p>
            <w:pPr>
              <w:pStyle w:val="TableContents"/>
              <w:bidi w:val="0"/>
              <w:spacing w:before="0" w:after="283"/>
              <w:jc w:val="left"/>
              <w:rPr/>
            </w:pPr>
            <w:r>
              <w:rPr>
                <w:rStyle w:val="StrongEmphasis"/>
              </w:rPr>
              <w:t>Cash flows from financing activities:</w:t>
            </w:r>
          </w:p>
        </w:tc>
        <w:tc>
          <w:tcPr>
            <w:tcW w:w="13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Proceeds from sales of shares through employee equity incentive plans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68,935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61,447</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Proceeds from sales of shares through private placement</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150,000</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Taxes paid related to net share settlement of equity awards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(256,636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(195,534</w:t>
            </w:r>
          </w:p>
        </w:tc>
        <w:tc>
          <w:tcPr>
            <w:tcW w:w="226" w:type="dxa"/>
            <w:tcBorders/>
            <w:vAlign w:val="center"/>
          </w:tcPr>
          <w:p>
            <w:pPr>
              <w:pStyle w:val="TableContents"/>
              <w:bidi w:val="0"/>
              <w:spacing w:before="0" w:after="283"/>
              <w:jc w:val="left"/>
              <w:rPr/>
            </w:pPr>
            <w:r>
              <w:rPr/>
              <w:t>)</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Proceeds from the issuance of convertible notes, net of issuance costs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848,010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Payment of third-party debt issuance costs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(3,448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Partial repurchase of the 2027 Notes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(95,453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Payment of revolver issuance costs</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(2,794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Repurchases of common stock</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(307,900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(483,543</w:t>
            </w:r>
          </w:p>
        </w:tc>
        <w:tc>
          <w:tcPr>
            <w:tcW w:w="226" w:type="dxa"/>
            <w:tcBorders/>
            <w:vAlign w:val="center"/>
          </w:tcPr>
          <w:p>
            <w:pPr>
              <w:pStyle w:val="TableContents"/>
              <w:bidi w:val="0"/>
              <w:spacing w:before="0" w:after="283"/>
              <w:jc w:val="left"/>
              <w:rPr/>
            </w:pPr>
            <w:r>
              <w:rPr/>
              <w:t>)</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Other financing activities, net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(6,628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(5,399</w:t>
            </w:r>
          </w:p>
        </w:tc>
        <w:tc>
          <w:tcPr>
            <w:tcW w:w="226" w:type="dxa"/>
            <w:tcBorders/>
            <w:vAlign w:val="center"/>
          </w:tcPr>
          <w:p>
            <w:pPr>
              <w:pStyle w:val="TableContents"/>
              <w:bidi w:val="0"/>
              <w:spacing w:before="0" w:after="283"/>
              <w:jc w:val="left"/>
              <w:rPr/>
            </w:pPr>
            <w:r>
              <w:rPr/>
              <w:t>)</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Net cash provided by (used in) financing activities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244,086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(473,029</w:t>
            </w:r>
          </w:p>
        </w:tc>
        <w:tc>
          <w:tcPr>
            <w:tcW w:w="226" w:type="dxa"/>
            <w:tcBorders/>
            <w:vAlign w:val="center"/>
          </w:tcPr>
          <w:p>
            <w:pPr>
              <w:pStyle w:val="TableContents"/>
              <w:bidi w:val="0"/>
              <w:spacing w:before="0" w:after="283"/>
              <w:jc w:val="left"/>
              <w:rPr/>
            </w:pPr>
            <w:r>
              <w:rPr/>
              <w:t>)</w:t>
            </w:r>
          </w:p>
        </w:tc>
      </w:tr>
      <w:tr>
        <w:trPr/>
        <w:tc>
          <w:tcPr>
            <w:tcW w:w="6918" w:type="dxa"/>
            <w:tcBorders/>
            <w:vAlign w:val="center"/>
          </w:tcPr>
          <w:p>
            <w:pPr>
              <w:pStyle w:val="TableContents"/>
              <w:bidi w:val="0"/>
              <w:spacing w:before="0" w:after="283"/>
              <w:jc w:val="left"/>
              <w:rPr/>
            </w:pPr>
            <w:r>
              <w:rPr/>
              <w:t>Net increase in cash, cash equivalents and restricted cash</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113,855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7,805</w:t>
            </w:r>
          </w:p>
        </w:tc>
        <w:tc>
          <w:tcPr>
            <w:tcW w:w="226" w:type="dxa"/>
            <w:tcBorders/>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t>Cash, cash equivalents and restricted cash—beginning of period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655,662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769,517</w:t>
            </w:r>
          </w:p>
        </w:tc>
        <w:tc>
          <w:tcPr>
            <w:tcW w:w="226" w:type="dxa"/>
            <w:tcBorders/>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t>Cash, cash equivalents and restricted cash—end of period</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769,517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777,322</w:t>
            </w:r>
          </w:p>
        </w:tc>
        <w:tc>
          <w:tcPr>
            <w:tcW w:w="226" w:type="dxa"/>
            <w:tcBorders/>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t>Restricted cash</w:t>
            </w:r>
            <w:r>
              <w:rPr>
                <w:position w:val="8"/>
                <w:sz w:val="19"/>
              </w:rPr>
              <w:t>(1)</w:t>
            </w:r>
          </w:p>
        </w:tc>
        <w:tc>
          <w:tcPr>
            <w:tcW w:w="22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right"/>
              <w:rPr/>
            </w:pPr>
            <w:r>
              <w:rPr/>
              <w:t>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4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right"/>
              <w:rPr/>
            </w:pPr>
            <w:r>
              <w:rPr/>
              <w:t>14</w:t>
            </w:r>
          </w:p>
        </w:tc>
        <w:tc>
          <w:tcPr>
            <w:tcW w:w="226" w:type="dxa"/>
            <w:tcBorders/>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t>Cash and cash equivalents—end of period</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769,502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777,308</w:t>
            </w:r>
          </w:p>
        </w:tc>
        <w:tc>
          <w:tcPr>
            <w:tcW w:w="226" w:type="dxa"/>
            <w:tcBorders/>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rStyle w:val="StrongEmphasis"/>
              </w:rPr>
              <w:t>Supplemental disclosures of cash flow information:</w:t>
            </w:r>
          </w:p>
        </w:tc>
        <w:tc>
          <w:tcPr>
            <w:tcW w:w="1367" w:type="dxa"/>
            <w:gridSpan w:val="2"/>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Cash paid for income taxes</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32,537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30,274</w:t>
            </w:r>
          </w:p>
        </w:tc>
        <w:tc>
          <w:tcPr>
            <w:tcW w:w="226" w:type="dxa"/>
            <w:tcBorders/>
            <w:vAlign w:val="center"/>
          </w:tcPr>
          <w:p>
            <w:pPr>
              <w:pStyle w:val="TableContents"/>
              <w:bidi w:val="0"/>
              <w:spacing w:before="0" w:after="283"/>
              <w:jc w:val="left"/>
              <w:rPr/>
            </w:pPr>
            <w:r>
              <w:rPr/>
              <w:t> </w:t>
            </w:r>
          </w:p>
        </w:tc>
      </w:tr>
      <w:tr>
        <w:trPr/>
        <w:tc>
          <w:tcPr>
            <w:tcW w:w="6918" w:type="dxa"/>
            <w:tcBorders/>
            <w:vAlign w:val="center"/>
          </w:tcPr>
          <w:p>
            <w:pPr>
              <w:pStyle w:val="TableContents"/>
              <w:bidi w:val="0"/>
              <w:spacing w:before="0" w:after="283"/>
              <w:jc w:val="left"/>
              <w:rPr/>
            </w:pPr>
            <w:r>
              <w:rPr>
                <w:rStyle w:val="StrongEmphasis"/>
              </w:rPr>
              <w:t>Supplemental disclosures of non-cash investing and</w:t>
            </w:r>
            <w:r>
              <w:rPr/>
              <w:br/>
            </w:r>
            <w:r>
              <w:rPr>
                <w:rStyle w:val="StrongEmphasis"/>
              </w:rPr>
              <w:t>financing information:</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Purchases of property and equipment included in accounts payable and</w:t>
              <w:br/>
              <w:t>accrued and other liabilities</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6,945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2,412</w:t>
            </w:r>
          </w:p>
        </w:tc>
        <w:tc>
          <w:tcPr>
            <w:tcW w:w="226" w:type="dxa"/>
            <w:tcBorders/>
            <w:vAlign w:val="center"/>
          </w:tcPr>
          <w:p>
            <w:pPr>
              <w:pStyle w:val="TableContents"/>
              <w:bidi w:val="0"/>
              <w:spacing w:before="0" w:after="283"/>
              <w:jc w:val="left"/>
              <w:rPr/>
            </w:pPr>
            <w:r>
              <w:rPr/>
              <w:t> </w:t>
            </w:r>
          </w:p>
        </w:tc>
      </w:tr>
      <w:tr>
        <w:trPr/>
        <w:tc>
          <w:tcPr>
            <w:tcW w:w="6918" w:type="dxa"/>
            <w:tcBorders/>
            <w:tcMar>
              <w:top w:w="0" w:type="dxa"/>
              <w:left w:w="0" w:type="dxa"/>
              <w:bottom w:w="0" w:type="dxa"/>
              <w:right w:w="0" w:type="dxa"/>
            </w:tcMar>
            <w:vAlign w:val="center"/>
          </w:tcPr>
          <w:p>
            <w:pPr>
              <w:pStyle w:val="TableContents"/>
              <w:bidi w:val="0"/>
              <w:spacing w:before="0" w:after="283"/>
              <w:jc w:val="left"/>
              <w:rPr/>
            </w:pPr>
            <w:r>
              <w:rPr/>
              <w:t>Unpaid taxes related to net share settlement of equity awards included</w:t>
              <w:br/>
              <w:t>in accrued expenses and other liabilities</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13,423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7,615</w:t>
            </w:r>
          </w:p>
        </w:tc>
        <w:tc>
          <w:tcPr>
            <w:tcW w:w="226" w:type="dxa"/>
            <w:tcBorders/>
            <w:vAlign w:val="center"/>
          </w:tcPr>
          <w:p>
            <w:pPr>
              <w:pStyle w:val="TableContents"/>
              <w:bidi w:val="0"/>
              <w:spacing w:before="0" w:after="283"/>
              <w:jc w:val="left"/>
              <w:rPr/>
            </w:pPr>
            <w:r>
              <w:rPr/>
              <w:t> </w:t>
            </w:r>
          </w:p>
        </w:tc>
      </w:tr>
    </w:tbl>
    <w:p>
      <w:pPr>
        <w:pStyle w:val="TextBody"/>
        <w:bidi w:val="0"/>
        <w:spacing w:before="0" w:after="283"/>
        <w:jc w:val="left"/>
        <w:rPr/>
      </w:pPr>
      <w:r>
        <w:rPr/>
        <w:t>__________________________</w:t>
        <w:br/>
        <w:t>(1) Included within other assets—non-current in the consolidated balance sheets.</w:t>
      </w:r>
    </w:p>
    <w:p>
      <w:pPr>
        <w:pStyle w:val="TextBody"/>
        <w:bidi w:val="0"/>
        <w:jc w:val="center"/>
        <w:rPr/>
      </w:pPr>
      <w:r>
        <w:rPr/>
      </w:r>
    </w:p>
    <w:tbl>
      <w:tblPr>
        <w:tblW w:w="9941" w:type="dxa"/>
        <w:jc w:val="center"/>
        <w:tblInd w:w="0" w:type="dxa"/>
        <w:tblLayout w:type="fixed"/>
        <w:tblCellMar>
          <w:top w:w="28" w:type="dxa"/>
          <w:left w:w="28" w:type="dxa"/>
          <w:bottom w:w="28" w:type="dxa"/>
          <w:right w:w="28" w:type="dxa"/>
        </w:tblCellMar>
      </w:tblPr>
      <w:tblGrid>
        <w:gridCol w:w="4066"/>
        <w:gridCol w:w="226"/>
        <w:gridCol w:w="886"/>
        <w:gridCol w:w="146"/>
        <w:gridCol w:w="146"/>
        <w:gridCol w:w="226"/>
        <w:gridCol w:w="886"/>
        <w:gridCol w:w="146"/>
        <w:gridCol w:w="146"/>
        <w:gridCol w:w="226"/>
        <w:gridCol w:w="1066"/>
        <w:gridCol w:w="146"/>
        <w:gridCol w:w="146"/>
        <w:gridCol w:w="226"/>
        <w:gridCol w:w="1066"/>
        <w:gridCol w:w="191"/>
      </w:tblGrid>
      <w:tr>
        <w:trPr/>
        <w:tc>
          <w:tcPr>
            <w:tcW w:w="9941" w:type="dxa"/>
            <w:gridSpan w:val="16"/>
            <w:tcBorders/>
            <w:vAlign w:val="center"/>
          </w:tcPr>
          <w:p>
            <w:pPr>
              <w:pStyle w:val="TableContents"/>
              <w:bidi w:val="0"/>
              <w:spacing w:before="0" w:after="283"/>
              <w:jc w:val="center"/>
              <w:rPr/>
            </w:pPr>
            <w:r>
              <w:rPr>
                <w:rStyle w:val="StrongEmphasis"/>
              </w:rPr>
              <w:t>Disaggregation of Revenue</w:t>
              <w:br/>
              <w:t>(Unaudited)</w:t>
            </w:r>
          </w:p>
        </w:tc>
      </w:tr>
      <w:tr>
        <w:trPr/>
        <w:tc>
          <w:tcPr>
            <w:tcW w:w="4066" w:type="dxa"/>
            <w:tcBorders/>
            <w:vAlign w:val="center"/>
          </w:tcPr>
          <w:p>
            <w:pPr>
              <w:pStyle w:val="TableContents"/>
              <w:bidi w:val="0"/>
              <w:spacing w:before="0" w:after="283"/>
              <w:jc w:val="left"/>
              <w:rPr/>
            </w:pPr>
            <w:r>
              <w:rPr/>
              <w:t> </w:t>
            </w:r>
          </w:p>
        </w:tc>
        <w:tc>
          <w:tcPr>
            <w:tcW w:w="2516" w:type="dxa"/>
            <w:gridSpan w:val="6"/>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6" w:type="dxa"/>
            <w:gridSpan w:val="6"/>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4066" w:type="dxa"/>
            <w:tcBorders/>
            <w:vAlign w:val="center"/>
          </w:tcPr>
          <w:p>
            <w:pPr>
              <w:pStyle w:val="TableContents"/>
              <w:bidi w:val="0"/>
              <w:spacing w:before="0" w:after="283"/>
              <w:jc w:val="center"/>
              <w:rPr/>
            </w:pPr>
            <w:r>
              <w:rPr/>
              <w:t> </w:t>
            </w:r>
          </w:p>
        </w:tc>
        <w:tc>
          <w:tcPr>
            <w:tcW w:w="251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br/>
            </w:r>
            <w:r>
              <w:rPr>
                <w:rStyle w:val="StrongEmphasis"/>
              </w:rPr>
              <w:t>July 31,</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87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Fiscal Year Ended</w:t>
            </w:r>
            <w:r>
              <w:rPr/>
              <w:br/>
            </w:r>
            <w:r>
              <w:rPr>
                <w:rStyle w:val="StrongEmphasis"/>
              </w:rPr>
              <w:t>July 31,</w:t>
            </w:r>
          </w:p>
        </w:tc>
        <w:tc>
          <w:tcPr>
            <w:tcW w:w="191" w:type="dxa"/>
            <w:tcBorders/>
            <w:vAlign w:val="center"/>
          </w:tcPr>
          <w:p>
            <w:pPr>
              <w:pStyle w:val="TableContents"/>
              <w:bidi w:val="0"/>
              <w:spacing w:before="0" w:after="283"/>
              <w:jc w:val="center"/>
              <w:rPr/>
            </w:pPr>
            <w:r>
              <w:rPr/>
              <w:t> </w:t>
            </w:r>
          </w:p>
        </w:tc>
      </w:tr>
      <w:tr>
        <w:trPr/>
        <w:tc>
          <w:tcPr>
            <w:tcW w:w="4066" w:type="dxa"/>
            <w:tcBorders/>
            <w:vAlign w:val="center"/>
          </w:tcPr>
          <w:p>
            <w:pPr>
              <w:pStyle w:val="TableContents"/>
              <w:bidi w:val="0"/>
              <w:spacing w:before="0" w:after="283"/>
              <w:jc w:val="center"/>
              <w:rPr/>
            </w:pPr>
            <w:r>
              <w:rPr/>
              <w:t> </w:t>
            </w:r>
          </w:p>
        </w:tc>
        <w:tc>
          <w:tcPr>
            <w:tcW w:w="11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2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91" w:type="dxa"/>
            <w:tcBorders/>
            <w:vAlign w:val="center"/>
          </w:tcPr>
          <w:p>
            <w:pPr>
              <w:pStyle w:val="TableContents"/>
              <w:bidi w:val="0"/>
              <w:spacing w:before="0" w:after="283"/>
              <w:jc w:val="center"/>
              <w:rPr/>
            </w:pPr>
            <w:r>
              <w:rPr/>
              <w:t> </w:t>
            </w:r>
          </w:p>
        </w:tc>
      </w:tr>
      <w:tr>
        <w:trPr/>
        <w:tc>
          <w:tcPr>
            <w:tcW w:w="4066" w:type="dxa"/>
            <w:tcBorders/>
            <w:vAlign w:val="center"/>
          </w:tcPr>
          <w:p>
            <w:pPr>
              <w:pStyle w:val="TableContents"/>
              <w:bidi w:val="0"/>
              <w:spacing w:before="0" w:after="283"/>
              <w:jc w:val="center"/>
              <w:rPr/>
            </w:pPr>
            <w:r>
              <w:rPr/>
              <w:t> </w:t>
            </w:r>
          </w:p>
        </w:tc>
        <w:tc>
          <w:tcPr>
            <w:tcW w:w="5684" w:type="dxa"/>
            <w:gridSpan w:val="14"/>
            <w:tcBorders/>
            <w:vAlign w:val="center"/>
          </w:tcPr>
          <w:p>
            <w:pPr>
              <w:pStyle w:val="TableContents"/>
              <w:bidi w:val="0"/>
              <w:spacing w:before="0" w:after="283"/>
              <w:jc w:val="center"/>
              <w:rPr/>
            </w:pPr>
            <w:r>
              <w:rPr>
                <w:rStyle w:val="StrongEmphasis"/>
              </w:rPr>
              <w:t>(in thousands)</w:t>
            </w:r>
          </w:p>
        </w:tc>
        <w:tc>
          <w:tcPr>
            <w:tcW w:w="191" w:type="dxa"/>
            <w:tcBorders/>
            <w:vAlign w:val="center"/>
          </w:tcPr>
          <w:p>
            <w:pPr>
              <w:pStyle w:val="TableContents"/>
              <w:bidi w:val="0"/>
              <w:spacing w:before="0" w:after="283"/>
              <w:jc w:val="center"/>
              <w:rPr/>
            </w:pPr>
            <w:r>
              <w:rPr/>
              <w:t> </w:t>
            </w:r>
          </w:p>
        </w:tc>
      </w:tr>
      <w:tr>
        <w:trPr/>
        <w:tc>
          <w:tcPr>
            <w:tcW w:w="4066" w:type="dxa"/>
            <w:tcBorders/>
            <w:vAlign w:val="center"/>
          </w:tcPr>
          <w:p>
            <w:pPr>
              <w:pStyle w:val="TableContents"/>
              <w:bidi w:val="0"/>
              <w:spacing w:before="0" w:after="283"/>
              <w:jc w:val="left"/>
              <w:rPr/>
            </w:pPr>
            <w:r>
              <w:rPr>
                <w:rStyle w:val="StrongEmphasis"/>
              </w:rPr>
              <w:t>Disaggregation of revenue:</w:t>
            </w:r>
          </w:p>
        </w:tc>
        <w:tc>
          <w:tcPr>
            <w:tcW w:w="11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92" w:type="dxa"/>
            <w:gridSpan w:val="2"/>
            <w:tcBorders/>
            <w:vAlign w:val="center"/>
          </w:tcPr>
          <w:p>
            <w:pPr>
              <w:pStyle w:val="TableContents"/>
              <w:bidi w:val="0"/>
              <w:spacing w:before="0" w:after="283"/>
              <w:jc w:val="right"/>
              <w:rPr/>
            </w:pPr>
            <w:r>
              <w:rPr/>
              <w:t> </w:t>
            </w:r>
          </w:p>
        </w:tc>
        <w:tc>
          <w:tcPr>
            <w:tcW w:w="191" w:type="dxa"/>
            <w:tcBorders/>
            <w:vAlign w:val="center"/>
          </w:tcPr>
          <w:p>
            <w:pPr>
              <w:pStyle w:val="TableContents"/>
              <w:bidi w:val="0"/>
              <w:spacing w:before="0" w:after="283"/>
              <w:jc w:val="right"/>
              <w:rPr/>
            </w:pPr>
            <w:r>
              <w:rPr/>
              <w:t> </w:t>
            </w:r>
          </w:p>
        </w:tc>
      </w:tr>
      <w:tr>
        <w:trPr/>
        <w:tc>
          <w:tcPr>
            <w:tcW w:w="4066" w:type="dxa"/>
            <w:tcBorders/>
            <w:vAlign w:val="center"/>
          </w:tcPr>
          <w:p>
            <w:pPr>
              <w:pStyle w:val="TableContents"/>
              <w:bidi w:val="0"/>
              <w:spacing w:before="0" w:after="283"/>
              <w:jc w:val="left"/>
              <w:rPr/>
            </w:pPr>
            <w:r>
              <w:rPr/>
              <w:t>Subscription revenue</w:t>
            </w:r>
          </w:p>
        </w:tc>
        <w:tc>
          <w:tcPr>
            <w:tcW w:w="226"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615,974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719,111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2,410,751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2,712,274</w:t>
            </w:r>
          </w:p>
        </w:tc>
        <w:tc>
          <w:tcPr>
            <w:tcW w:w="191" w:type="dxa"/>
            <w:tcBorders/>
            <w:vAlign w:val="center"/>
          </w:tcPr>
          <w:p>
            <w:pPr>
              <w:pStyle w:val="TableContents"/>
              <w:bidi w:val="0"/>
              <w:spacing w:before="0" w:after="283"/>
              <w:jc w:val="left"/>
              <w:rPr/>
            </w:pPr>
            <w:r>
              <w:rPr/>
              <w:t> </w:t>
            </w:r>
          </w:p>
        </w:tc>
      </w:tr>
      <w:tr>
        <w:trPr/>
        <w:tc>
          <w:tcPr>
            <w:tcW w:w="4066" w:type="dxa"/>
            <w:tcBorders/>
            <w:vAlign w:val="center"/>
          </w:tcPr>
          <w:p>
            <w:pPr>
              <w:pStyle w:val="TableContents"/>
              <w:bidi w:val="0"/>
              <w:spacing w:before="0" w:after="283"/>
              <w:jc w:val="left"/>
              <w:rPr/>
            </w:pPr>
            <w:r>
              <w:rPr/>
              <w:t>Professional services and other revenue</w:t>
            </w:r>
            <w:r>
              <w:rPr>
                <w:position w:val="8"/>
                <w:sz w:val="19"/>
              </w:rPr>
              <w:t>(1)</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37,293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37,967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127,176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141,271</w:t>
            </w:r>
          </w:p>
        </w:tc>
        <w:tc>
          <w:tcPr>
            <w:tcW w:w="191" w:type="dxa"/>
            <w:tcBorders/>
            <w:vAlign w:val="center"/>
          </w:tcPr>
          <w:p>
            <w:pPr>
              <w:pStyle w:val="TableContents"/>
              <w:bidi w:val="0"/>
              <w:spacing w:before="0" w:after="283"/>
              <w:jc w:val="left"/>
              <w:rPr/>
            </w:pPr>
            <w:r>
              <w:rPr/>
              <w:t>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pPr>
            <w:r>
              <w:rPr/>
              <w:t>Total revenue</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653,267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757,078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2,537,927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2,853,545</w:t>
            </w:r>
          </w:p>
        </w:tc>
        <w:tc>
          <w:tcPr>
            <w:tcW w:w="191" w:type="dxa"/>
            <w:tcBorders/>
            <w:vAlign w:val="center"/>
          </w:tcPr>
          <w:p>
            <w:pPr>
              <w:pStyle w:val="TableContents"/>
              <w:bidi w:val="0"/>
              <w:spacing w:before="0" w:after="283"/>
              <w:jc w:val="left"/>
              <w:rPr/>
            </w:pPr>
            <w:r>
              <w:rPr/>
              <w:t> </w:t>
            </w:r>
          </w:p>
        </w:tc>
      </w:tr>
    </w:tbl>
    <w:p>
      <w:pPr>
        <w:pStyle w:val="TextBody"/>
        <w:bidi w:val="0"/>
        <w:spacing w:before="0" w:after="283"/>
        <w:jc w:val="left"/>
        <w:rPr/>
      </w:pPr>
      <w:r>
        <w:rPr/>
        <w:t>__________________________</w:t>
        <w:br/>
        <w:t>(1) Prior to fiscal 2026, these amounts were presented as separate line items, Professional services and Other non-subscription product. Prior period amounts have been updated to conform to the current period presentation.</w:t>
      </w:r>
    </w:p>
    <w:p>
      <w:pPr>
        <w:pStyle w:val="TextBody"/>
        <w:bidi w:val="0"/>
        <w:spacing w:before="0" w:after="283"/>
        <w:jc w:val="left"/>
        <w:rPr/>
      </w:pPr>
      <w:r>
        <w:rPr/>
      </w:r>
    </w:p>
    <w:tbl>
      <w:tblPr>
        <w:tblW w:w="6803" w:type="dxa"/>
        <w:jc w:val="center"/>
        <w:tblInd w:w="0" w:type="dxa"/>
        <w:tblLayout w:type="fixed"/>
        <w:tblCellMar>
          <w:top w:w="28" w:type="dxa"/>
          <w:left w:w="28" w:type="dxa"/>
          <w:bottom w:w="28" w:type="dxa"/>
          <w:right w:w="28" w:type="dxa"/>
        </w:tblCellMar>
      </w:tblPr>
      <w:tblGrid>
        <w:gridCol w:w="3736"/>
        <w:gridCol w:w="226"/>
        <w:gridCol w:w="1066"/>
        <w:gridCol w:w="146"/>
        <w:gridCol w:w="146"/>
        <w:gridCol w:w="226"/>
        <w:gridCol w:w="1066"/>
        <w:gridCol w:w="191"/>
      </w:tblGrid>
      <w:tr>
        <w:trPr/>
        <w:tc>
          <w:tcPr>
            <w:tcW w:w="6612" w:type="dxa"/>
            <w:gridSpan w:val="7"/>
            <w:tcBorders/>
            <w:vAlign w:val="center"/>
          </w:tcPr>
          <w:p>
            <w:pPr>
              <w:pStyle w:val="TableContents"/>
              <w:bidi w:val="0"/>
              <w:spacing w:before="0" w:after="283"/>
              <w:jc w:val="center"/>
              <w:rPr/>
            </w:pPr>
            <w:r>
              <w:rPr>
                <w:rStyle w:val="StrongEmphasis"/>
              </w:rPr>
              <w:t xml:space="preserve">Annual Recurring Revenue </w:t>
              <w:br/>
              <w:t>(Unaudited)</w:t>
            </w:r>
          </w:p>
        </w:tc>
        <w:tc>
          <w:tcPr>
            <w:tcW w:w="191" w:type="dxa"/>
            <w:tcBorders/>
            <w:vAlign w:val="center"/>
          </w:tcPr>
          <w:p>
            <w:pPr>
              <w:pStyle w:val="TableContents"/>
              <w:bidi w:val="0"/>
              <w:spacing w:before="0" w:after="283"/>
              <w:jc w:val="left"/>
              <w:rPr/>
            </w:pPr>
            <w:r>
              <w:rPr/>
              <w:t> </w:t>
            </w:r>
          </w:p>
        </w:tc>
      </w:tr>
      <w:tr>
        <w:trPr/>
        <w:tc>
          <w:tcPr>
            <w:tcW w:w="3736" w:type="dxa"/>
            <w:tcBorders/>
            <w:vAlign w:val="center"/>
          </w:tcPr>
          <w:p>
            <w:pPr>
              <w:pStyle w:val="TableContents"/>
              <w:bidi w:val="0"/>
              <w:spacing w:before="0" w:after="283"/>
              <w:jc w:val="left"/>
              <w:rPr/>
            </w:pPr>
            <w:r>
              <w:rPr/>
              <w:t> </w:t>
            </w:r>
          </w:p>
        </w:tc>
        <w:tc>
          <w:tcPr>
            <w:tcW w:w="2876" w:type="dxa"/>
            <w:gridSpan w:val="6"/>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736" w:type="dxa"/>
            <w:tcBorders/>
            <w:vAlign w:val="center"/>
          </w:tcPr>
          <w:p>
            <w:pPr>
              <w:pStyle w:val="TableContents"/>
              <w:bidi w:val="0"/>
              <w:spacing w:before="0" w:after="283"/>
              <w:jc w:val="center"/>
              <w:rPr/>
            </w:pPr>
            <w:r>
              <w:rPr/>
              <w:t> </w:t>
            </w:r>
          </w:p>
        </w:tc>
        <w:tc>
          <w:tcPr>
            <w:tcW w:w="287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of July 31,</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736" w:type="dxa"/>
            <w:tcBorders/>
            <w:vAlign w:val="center"/>
          </w:tcPr>
          <w:p>
            <w:pPr>
              <w:pStyle w:val="TableContents"/>
              <w:bidi w:val="0"/>
              <w:spacing w:before="0" w:after="283"/>
              <w:jc w:val="center"/>
              <w:rPr/>
            </w:pPr>
            <w:r>
              <w:rPr/>
              <w:t> </w:t>
            </w:r>
          </w:p>
        </w:tc>
        <w:tc>
          <w:tcPr>
            <w:tcW w:w="12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r>
      <w:tr>
        <w:trPr/>
        <w:tc>
          <w:tcPr>
            <w:tcW w:w="3736" w:type="dxa"/>
            <w:tcBorders/>
            <w:vAlign w:val="center"/>
          </w:tcPr>
          <w:p>
            <w:pPr>
              <w:pStyle w:val="TableContents"/>
              <w:bidi w:val="0"/>
              <w:spacing w:before="0" w:after="283"/>
              <w:jc w:val="center"/>
              <w:rPr/>
            </w:pPr>
            <w:r>
              <w:rPr/>
              <w:t> </w:t>
            </w:r>
          </w:p>
        </w:tc>
        <w:tc>
          <w:tcPr>
            <w:tcW w:w="2876" w:type="dxa"/>
            <w:gridSpan w:val="6"/>
            <w:tcBorders/>
            <w:vAlign w:val="center"/>
          </w:tcPr>
          <w:p>
            <w:pPr>
              <w:pStyle w:val="TableContents"/>
              <w:bidi w:val="0"/>
              <w:spacing w:before="0" w:after="283"/>
              <w:jc w:val="center"/>
              <w:rPr/>
            </w:pPr>
            <w:r>
              <w:rPr>
                <w:rStyle w:val="StrongEmphasis"/>
              </w:rPr>
              <w:t>(in thousands)</w:t>
            </w:r>
          </w:p>
        </w:tc>
        <w:tc>
          <w:tcPr>
            <w:tcW w:w="191" w:type="dxa"/>
            <w:tcBorders/>
            <w:vAlign w:val="center"/>
          </w:tcPr>
          <w:p>
            <w:pPr>
              <w:pStyle w:val="TableContents"/>
              <w:bidi w:val="0"/>
              <w:spacing w:before="0" w:after="283"/>
              <w:jc w:val="center"/>
              <w:rPr/>
            </w:pPr>
            <w:r>
              <w:rPr/>
              <w:t> </w:t>
            </w:r>
          </w:p>
        </w:tc>
      </w:tr>
      <w:tr>
        <w:trPr/>
        <w:tc>
          <w:tcPr>
            <w:tcW w:w="3736" w:type="dxa"/>
            <w:tcBorders/>
            <w:vAlign w:val="center"/>
          </w:tcPr>
          <w:p>
            <w:pPr>
              <w:pStyle w:val="TableContents"/>
              <w:bidi w:val="0"/>
              <w:spacing w:before="0" w:after="283"/>
              <w:jc w:val="left"/>
              <w:rPr/>
            </w:pPr>
            <w:r>
              <w:rPr/>
              <w:t xml:space="preserve">Annual Recurring Revenue (ARR) </w:t>
            </w:r>
            <w:r>
              <w:rPr>
                <w:position w:val="8"/>
                <w:sz w:val="19"/>
              </w:rPr>
              <w:t>(1)</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2,201,672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2,548,797</w:t>
            </w:r>
          </w:p>
        </w:tc>
        <w:tc>
          <w:tcPr>
            <w:tcW w:w="191" w:type="dxa"/>
            <w:tcBorders/>
            <w:vAlign w:val="center"/>
          </w:tcPr>
          <w:p>
            <w:pPr>
              <w:pStyle w:val="TableContents"/>
              <w:bidi w:val="0"/>
              <w:spacing w:before="0" w:after="283"/>
              <w:jc w:val="left"/>
              <w:rPr/>
            </w:pPr>
            <w:r>
              <w:rPr/>
              <w:t> </w:t>
            </w:r>
          </w:p>
        </w:tc>
      </w:tr>
    </w:tbl>
    <w:p>
      <w:pPr>
        <w:pStyle w:val="TextBody"/>
        <w:bidi w:val="0"/>
        <w:spacing w:before="0" w:after="283"/>
        <w:jc w:val="left"/>
        <w:rPr/>
      </w:pPr>
      <w:r>
        <w:rPr/>
        <w:t>__________________________</w:t>
      </w:r>
    </w:p>
    <w:p>
      <w:pPr>
        <w:pStyle w:val="TextBody"/>
        <w:bidi w:val="0"/>
        <w:spacing w:before="0" w:after="283"/>
        <w:jc w:val="left"/>
        <w:rPr/>
      </w:pPr>
      <w:r>
        <w:rPr/>
        <w:t>(1) Beginning with the first quarter of fiscal 2026, our methodology for calculating ARR was updated to align more closely with the timing of when licenses are made available to customers. Prior period amounts have been updated to conform to current quarter methodology.</w:t>
      </w:r>
    </w:p>
    <w:p>
      <w:pPr>
        <w:pStyle w:val="TextBody"/>
        <w:bidi w:val="0"/>
        <w:jc w:val="center"/>
        <w:rPr/>
      </w:pPr>
      <w:r>
        <w:rPr/>
      </w:r>
    </w:p>
    <w:tbl>
      <w:tblPr>
        <w:tblW w:w="6623" w:type="dxa"/>
        <w:jc w:val="center"/>
        <w:tblInd w:w="0" w:type="dxa"/>
        <w:tblLayout w:type="fixed"/>
        <w:tblCellMar>
          <w:top w:w="28" w:type="dxa"/>
          <w:left w:w="28" w:type="dxa"/>
          <w:bottom w:w="28" w:type="dxa"/>
          <w:right w:w="28" w:type="dxa"/>
        </w:tblCellMar>
      </w:tblPr>
      <w:tblGrid>
        <w:gridCol w:w="3556"/>
        <w:gridCol w:w="226"/>
        <w:gridCol w:w="1066"/>
        <w:gridCol w:w="146"/>
        <w:gridCol w:w="146"/>
        <w:gridCol w:w="226"/>
        <w:gridCol w:w="1066"/>
        <w:gridCol w:w="191"/>
      </w:tblGrid>
      <w:tr>
        <w:trPr/>
        <w:tc>
          <w:tcPr>
            <w:tcW w:w="6623" w:type="dxa"/>
            <w:gridSpan w:val="8"/>
            <w:tcBorders/>
            <w:vAlign w:val="center"/>
          </w:tcPr>
          <w:p>
            <w:pPr>
              <w:pStyle w:val="TableContents"/>
              <w:bidi w:val="0"/>
              <w:spacing w:before="0" w:after="283"/>
              <w:jc w:val="center"/>
              <w:rPr/>
            </w:pPr>
            <w:r>
              <w:rPr>
                <w:rStyle w:val="StrongEmphasis"/>
              </w:rPr>
              <w:t xml:space="preserve">Remaining Performance Obligations </w:t>
              <w:br/>
              <w:t>(Unaudited)</w:t>
            </w:r>
          </w:p>
        </w:tc>
      </w:tr>
      <w:tr>
        <w:trPr/>
        <w:tc>
          <w:tcPr>
            <w:tcW w:w="3556" w:type="dxa"/>
            <w:tcBorders/>
            <w:vAlign w:val="center"/>
          </w:tcPr>
          <w:p>
            <w:pPr>
              <w:pStyle w:val="TableContents"/>
              <w:bidi w:val="0"/>
              <w:spacing w:before="0" w:after="283"/>
              <w:jc w:val="left"/>
              <w:rPr/>
            </w:pPr>
            <w:r>
              <w:rPr/>
              <w:t> </w:t>
            </w:r>
          </w:p>
        </w:tc>
        <w:tc>
          <w:tcPr>
            <w:tcW w:w="2876" w:type="dxa"/>
            <w:gridSpan w:val="6"/>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556" w:type="dxa"/>
            <w:tcBorders/>
            <w:vAlign w:val="center"/>
          </w:tcPr>
          <w:p>
            <w:pPr>
              <w:pStyle w:val="TableContents"/>
              <w:bidi w:val="0"/>
              <w:spacing w:before="0" w:after="283"/>
              <w:jc w:val="center"/>
              <w:rPr/>
            </w:pPr>
            <w:r>
              <w:rPr/>
              <w:t> </w:t>
            </w:r>
          </w:p>
        </w:tc>
        <w:tc>
          <w:tcPr>
            <w:tcW w:w="287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of July 31,</w:t>
            </w:r>
          </w:p>
        </w:tc>
        <w:tc>
          <w:tcPr>
            <w:tcW w:w="191" w:type="dxa"/>
            <w:tcBorders/>
            <w:vAlign w:val="center"/>
          </w:tcPr>
          <w:p>
            <w:pPr>
              <w:pStyle w:val="TableContents"/>
              <w:bidi w:val="0"/>
              <w:spacing w:before="0" w:after="283"/>
              <w:jc w:val="center"/>
              <w:rPr/>
            </w:pPr>
            <w:r>
              <w:rPr/>
              <w:t> </w:t>
            </w:r>
          </w:p>
        </w:tc>
      </w:tr>
      <w:tr>
        <w:trPr/>
        <w:tc>
          <w:tcPr>
            <w:tcW w:w="3556" w:type="dxa"/>
            <w:tcBorders/>
            <w:vAlign w:val="center"/>
          </w:tcPr>
          <w:p>
            <w:pPr>
              <w:pStyle w:val="TableContents"/>
              <w:bidi w:val="0"/>
              <w:spacing w:before="0" w:after="283"/>
              <w:jc w:val="center"/>
              <w:rPr/>
            </w:pPr>
            <w:r>
              <w:rPr/>
              <w:t> </w:t>
            </w:r>
          </w:p>
        </w:tc>
        <w:tc>
          <w:tcPr>
            <w:tcW w:w="12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91" w:type="dxa"/>
            <w:tcBorders/>
            <w:vAlign w:val="center"/>
          </w:tcPr>
          <w:p>
            <w:pPr>
              <w:pStyle w:val="TableContents"/>
              <w:bidi w:val="0"/>
              <w:spacing w:before="0" w:after="283"/>
              <w:jc w:val="center"/>
              <w:rPr/>
            </w:pPr>
            <w:r>
              <w:rPr/>
              <w:t> </w:t>
            </w:r>
          </w:p>
        </w:tc>
      </w:tr>
      <w:tr>
        <w:trPr/>
        <w:tc>
          <w:tcPr>
            <w:tcW w:w="3556" w:type="dxa"/>
            <w:tcBorders/>
            <w:vAlign w:val="center"/>
          </w:tcPr>
          <w:p>
            <w:pPr>
              <w:pStyle w:val="TableContents"/>
              <w:bidi w:val="0"/>
              <w:spacing w:before="0" w:after="283"/>
              <w:jc w:val="center"/>
              <w:rPr/>
            </w:pPr>
            <w:r>
              <w:rPr/>
              <w:t> </w:t>
            </w:r>
          </w:p>
        </w:tc>
        <w:tc>
          <w:tcPr>
            <w:tcW w:w="2876" w:type="dxa"/>
            <w:gridSpan w:val="6"/>
            <w:tcBorders/>
            <w:vAlign w:val="center"/>
          </w:tcPr>
          <w:p>
            <w:pPr>
              <w:pStyle w:val="TableContents"/>
              <w:bidi w:val="0"/>
              <w:spacing w:before="0" w:after="283"/>
              <w:jc w:val="center"/>
              <w:rPr/>
            </w:pPr>
            <w:r>
              <w:rPr>
                <w:rStyle w:val="StrongEmphasis"/>
              </w:rPr>
              <w:t>(in thousands)</w:t>
            </w:r>
          </w:p>
        </w:tc>
        <w:tc>
          <w:tcPr>
            <w:tcW w:w="191" w:type="dxa"/>
            <w:tcBorders/>
            <w:vAlign w:val="center"/>
          </w:tcPr>
          <w:p>
            <w:pPr>
              <w:pStyle w:val="TableContents"/>
              <w:bidi w:val="0"/>
              <w:spacing w:before="0" w:after="283"/>
              <w:jc w:val="center"/>
              <w:rPr/>
            </w:pPr>
            <w:r>
              <w:rPr/>
              <w:t> </w:t>
            </w:r>
          </w:p>
        </w:tc>
      </w:tr>
      <w:tr>
        <w:trPr/>
        <w:tc>
          <w:tcPr>
            <w:tcW w:w="3556" w:type="dxa"/>
            <w:tcBorders/>
            <w:vAlign w:val="center"/>
          </w:tcPr>
          <w:p>
            <w:pPr>
              <w:pStyle w:val="TableContents"/>
              <w:bidi w:val="0"/>
              <w:spacing w:before="0" w:after="283"/>
              <w:jc w:val="left"/>
              <w:rPr/>
            </w:pPr>
            <w:r>
              <w:rPr/>
              <w:t>Remaining performance obligations:</w:t>
            </w:r>
          </w:p>
        </w:tc>
        <w:tc>
          <w:tcPr>
            <w:tcW w:w="1292"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2" w:type="dxa"/>
            <w:gridSpan w:val="2"/>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center"/>
              <w:rPr/>
            </w:pPr>
            <w:r>
              <w:rPr/>
              <w:t> </w:t>
            </w:r>
          </w:p>
        </w:tc>
      </w:tr>
      <w:tr>
        <w:trPr/>
        <w:tc>
          <w:tcPr>
            <w:tcW w:w="3556" w:type="dxa"/>
            <w:tcBorders/>
            <w:tcMar>
              <w:top w:w="0" w:type="dxa"/>
              <w:left w:w="0" w:type="dxa"/>
              <w:bottom w:w="0" w:type="dxa"/>
              <w:right w:w="0" w:type="dxa"/>
            </w:tcMar>
            <w:vAlign w:val="center"/>
          </w:tcPr>
          <w:p>
            <w:pPr>
              <w:pStyle w:val="TableContents"/>
              <w:bidi w:val="0"/>
              <w:spacing w:before="0" w:after="283"/>
              <w:jc w:val="left"/>
              <w:rPr/>
            </w:pPr>
            <w:r>
              <w:rPr/>
              <w:t>Current</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1,328,328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1,686,685</w:t>
            </w:r>
          </w:p>
        </w:tc>
        <w:tc>
          <w:tcPr>
            <w:tcW w:w="191" w:type="dxa"/>
            <w:tcBorders/>
            <w:vAlign w:val="center"/>
          </w:tcPr>
          <w:p>
            <w:pPr>
              <w:pStyle w:val="TableContents"/>
              <w:bidi w:val="0"/>
              <w:spacing w:before="0" w:after="283"/>
              <w:jc w:val="left"/>
              <w:rPr/>
            </w:pPr>
            <w:r>
              <w:rPr/>
              <w:t> </w:t>
            </w:r>
          </w:p>
        </w:tc>
      </w:tr>
      <w:tr>
        <w:trPr/>
        <w:tc>
          <w:tcPr>
            <w:tcW w:w="3556" w:type="dxa"/>
            <w:tcBorders/>
            <w:tcMar>
              <w:top w:w="0" w:type="dxa"/>
              <w:left w:w="0" w:type="dxa"/>
              <w:bottom w:w="0" w:type="dxa"/>
              <w:right w:w="0" w:type="dxa"/>
            </w:tcMar>
            <w:vAlign w:val="center"/>
          </w:tcPr>
          <w:p>
            <w:pPr>
              <w:pStyle w:val="TableContents"/>
              <w:bidi w:val="0"/>
              <w:spacing w:before="0" w:after="283"/>
              <w:jc w:val="left"/>
              <w:rPr/>
            </w:pPr>
            <w:r>
              <w:rPr/>
              <w:t>13-36 months</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977,341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1,293,675</w:t>
            </w:r>
          </w:p>
        </w:tc>
        <w:tc>
          <w:tcPr>
            <w:tcW w:w="191" w:type="dxa"/>
            <w:tcBorders/>
            <w:vAlign w:val="center"/>
          </w:tcPr>
          <w:p>
            <w:pPr>
              <w:pStyle w:val="TableContents"/>
              <w:bidi w:val="0"/>
              <w:spacing w:before="0" w:after="283"/>
              <w:jc w:val="left"/>
              <w:rPr/>
            </w:pPr>
            <w:r>
              <w:rPr/>
              <w:t> </w:t>
            </w:r>
          </w:p>
        </w:tc>
      </w:tr>
      <w:tr>
        <w:trPr/>
        <w:tc>
          <w:tcPr>
            <w:tcW w:w="3556" w:type="dxa"/>
            <w:tcBorders/>
            <w:tcMar>
              <w:top w:w="0" w:type="dxa"/>
              <w:left w:w="0" w:type="dxa"/>
              <w:bottom w:w="0" w:type="dxa"/>
              <w:right w:w="0" w:type="dxa"/>
            </w:tcMar>
            <w:vAlign w:val="center"/>
          </w:tcPr>
          <w:p>
            <w:pPr>
              <w:pStyle w:val="TableContents"/>
              <w:bidi w:val="0"/>
              <w:spacing w:before="0" w:after="283"/>
              <w:jc w:val="left"/>
              <w:rPr/>
            </w:pPr>
            <w:r>
              <w:rPr/>
              <w:t>Thereafter</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386,892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460,051</w:t>
            </w:r>
          </w:p>
        </w:tc>
        <w:tc>
          <w:tcPr>
            <w:tcW w:w="191" w:type="dxa"/>
            <w:tcBorders/>
            <w:vAlign w:val="center"/>
          </w:tcPr>
          <w:p>
            <w:pPr>
              <w:pStyle w:val="TableContents"/>
              <w:bidi w:val="0"/>
              <w:spacing w:before="0" w:after="283"/>
              <w:jc w:val="left"/>
              <w:rPr/>
            </w:pPr>
            <w:r>
              <w:rPr/>
              <w:t> </w:t>
            </w:r>
          </w:p>
        </w:tc>
      </w:tr>
      <w:tr>
        <w:trPr/>
        <w:tc>
          <w:tcPr>
            <w:tcW w:w="3556" w:type="dxa"/>
            <w:tcBorders/>
            <w:tcMar>
              <w:top w:w="0" w:type="dxa"/>
              <w:left w:w="0" w:type="dxa"/>
              <w:bottom w:w="0" w:type="dxa"/>
              <w:right w:w="0" w:type="dxa"/>
            </w:tcMar>
            <w:vAlign w:val="center"/>
          </w:tcPr>
          <w:p>
            <w:pPr>
              <w:pStyle w:val="TableContents"/>
              <w:bidi w:val="0"/>
              <w:spacing w:before="0" w:after="283"/>
              <w:jc w:val="left"/>
              <w:rPr/>
            </w:pPr>
            <w:r>
              <w:rPr/>
              <w:t>Total</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2,692,561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3,440,411</w:t>
            </w:r>
          </w:p>
        </w:tc>
        <w:tc>
          <w:tcPr>
            <w:tcW w:w="191" w:type="dxa"/>
            <w:tcBorders/>
            <w:vAlign w:val="center"/>
          </w:tcPr>
          <w:p>
            <w:pPr>
              <w:pStyle w:val="TableContents"/>
              <w:bidi w:val="0"/>
              <w:spacing w:before="0" w:after="283"/>
              <w:jc w:val="left"/>
              <w:rPr/>
            </w:pPr>
            <w:r>
              <w:rPr/>
              <w:t> </w:t>
            </w:r>
          </w:p>
        </w:tc>
      </w:tr>
    </w:tbl>
    <w:p>
      <w:pPr>
        <w:pStyle w:val="TextBody"/>
        <w:bidi w:val="0"/>
        <w:jc w:val="center"/>
        <w:rPr>
          <w:rStyle w:val="StrongEmphasis"/>
        </w:rPr>
      </w:pPr>
      <w:r>
        <w:rPr/>
      </w:r>
    </w:p>
    <w:p>
      <w:pPr>
        <w:pStyle w:val="TextBody"/>
        <w:bidi w:val="0"/>
        <w:jc w:val="center"/>
        <w:rPr/>
      </w:pPr>
      <w:r>
        <w:rPr/>
      </w:r>
    </w:p>
    <w:tbl>
      <w:tblPr>
        <w:tblW w:w="15844" w:type="dxa"/>
        <w:jc w:val="center"/>
        <w:tblInd w:w="0" w:type="dxa"/>
        <w:tblLayout w:type="fixed"/>
        <w:tblCellMar>
          <w:top w:w="28" w:type="dxa"/>
          <w:left w:w="28" w:type="dxa"/>
          <w:bottom w:w="28" w:type="dxa"/>
          <w:right w:w="28" w:type="dxa"/>
        </w:tblCellMar>
      </w:tblPr>
      <w:tblGrid>
        <w:gridCol w:w="1441"/>
        <w:gridCol w:w="226"/>
        <w:gridCol w:w="1066"/>
        <w:gridCol w:w="301"/>
        <w:gridCol w:w="146"/>
        <w:gridCol w:w="226"/>
        <w:gridCol w:w="841"/>
        <w:gridCol w:w="301"/>
        <w:gridCol w:w="146"/>
        <w:gridCol w:w="226"/>
        <w:gridCol w:w="466"/>
        <w:gridCol w:w="181"/>
        <w:gridCol w:w="146"/>
        <w:gridCol w:w="226"/>
        <w:gridCol w:w="841"/>
        <w:gridCol w:w="301"/>
        <w:gridCol w:w="146"/>
        <w:gridCol w:w="226"/>
        <w:gridCol w:w="721"/>
        <w:gridCol w:w="301"/>
        <w:gridCol w:w="146"/>
        <w:gridCol w:w="226"/>
        <w:gridCol w:w="646"/>
        <w:gridCol w:w="301"/>
        <w:gridCol w:w="146"/>
        <w:gridCol w:w="226"/>
        <w:gridCol w:w="646"/>
        <w:gridCol w:w="146"/>
        <w:gridCol w:w="146"/>
        <w:gridCol w:w="226"/>
        <w:gridCol w:w="1141"/>
        <w:gridCol w:w="181"/>
        <w:gridCol w:w="146"/>
        <w:gridCol w:w="226"/>
        <w:gridCol w:w="841"/>
        <w:gridCol w:w="181"/>
        <w:gridCol w:w="146"/>
        <w:gridCol w:w="265"/>
        <w:gridCol w:w="1041"/>
        <w:gridCol w:w="346"/>
      </w:tblGrid>
      <w:tr>
        <w:trPr/>
        <w:tc>
          <w:tcPr>
            <w:tcW w:w="15844" w:type="dxa"/>
            <w:gridSpan w:val="40"/>
            <w:tcBorders/>
            <w:vAlign w:val="center"/>
          </w:tcPr>
          <w:p>
            <w:pPr>
              <w:pStyle w:val="TableContents"/>
              <w:bidi w:val="0"/>
              <w:spacing w:before="0" w:after="283"/>
              <w:jc w:val="center"/>
              <w:rPr/>
            </w:pPr>
            <w:r>
              <w:rPr>
                <w:rStyle w:val="StrongEmphasis"/>
              </w:rPr>
              <w:t>Reconciliation of GAAP to Non-GAAP Profit Measures</w:t>
            </w:r>
            <w:r>
              <w:rPr/>
              <w:br/>
            </w:r>
            <w:r>
              <w:rPr>
                <w:rStyle w:val="StrongEmphasis"/>
              </w:rPr>
              <w:t>(Unaudited)</w:t>
            </w:r>
          </w:p>
        </w:tc>
      </w:tr>
      <w:tr>
        <w:trPr/>
        <w:tc>
          <w:tcPr>
            <w:tcW w:w="1441" w:type="dxa"/>
            <w:tcBorders/>
            <w:vAlign w:val="center"/>
          </w:tcPr>
          <w:p>
            <w:pPr>
              <w:pStyle w:val="TableContents"/>
              <w:bidi w:val="0"/>
              <w:spacing w:before="0" w:after="283"/>
              <w:jc w:val="left"/>
              <w:rPr/>
            </w:pPr>
            <w:r>
              <w:rPr/>
              <w:t> </w:t>
            </w:r>
          </w:p>
        </w:tc>
        <w:tc>
          <w:tcPr>
            <w:tcW w:w="1292" w:type="dxa"/>
            <w:gridSpan w:val="2"/>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85" w:type="dxa"/>
            <w:gridSpan w:val="30"/>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center"/>
              <w:rPr/>
            </w:pPr>
            <w:r>
              <w:rPr/>
              <w:t> </w:t>
            </w:r>
          </w:p>
        </w:tc>
        <w:tc>
          <w:tcPr>
            <w:tcW w:w="1292" w:type="dxa"/>
            <w:gridSpan w:val="2"/>
            <w:tcBorders/>
            <w:vAlign w:val="center"/>
          </w:tcPr>
          <w:p>
            <w:pPr>
              <w:pStyle w:val="TableContents"/>
              <w:bidi w:val="0"/>
              <w:spacing w:before="0" w:after="283"/>
              <w:jc w:val="center"/>
              <w:rPr/>
            </w:pPr>
            <w:r>
              <w:rPr>
                <w:rStyle w:val="StrongEmphasis"/>
              </w:rPr>
              <w:t>GAAP</w:t>
            </w:r>
          </w:p>
        </w:tc>
        <w:tc>
          <w:tcPr>
            <w:tcW w:w="3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85" w:type="dxa"/>
            <w:gridSpan w:val="30"/>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Non-GAAP Adjustments</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center"/>
              <w:rPr/>
            </w:pPr>
            <w:r>
              <w:rPr>
                <w:rStyle w:val="StrongEmphasis"/>
              </w:rPr>
              <w:t>Non-GAAP</w:t>
            </w:r>
          </w:p>
        </w:tc>
        <w:tc>
          <w:tcPr>
            <w:tcW w:w="346" w:type="dxa"/>
            <w:tcBorders/>
            <w:vAlign w:val="center"/>
          </w:tcPr>
          <w:p>
            <w:pPr>
              <w:pStyle w:val="TableContents"/>
              <w:bidi w:val="0"/>
              <w:spacing w:before="0" w:after="283"/>
              <w:jc w:val="center"/>
              <w:rPr/>
            </w:pPr>
            <w:r>
              <w:rPr/>
              <w:t> </w:t>
            </w:r>
          </w:p>
        </w:tc>
      </w:tr>
      <w:tr>
        <w:trPr/>
        <w:tc>
          <w:tcPr>
            <w:tcW w:w="1441" w:type="dxa"/>
            <w:tcBorders/>
            <w:vAlign w:val="center"/>
          </w:tcPr>
          <w:p>
            <w:pPr>
              <w:pStyle w:val="TableContents"/>
              <w:bidi w:val="0"/>
              <w:spacing w:before="0" w:after="283"/>
              <w:jc w:val="center"/>
              <w:rPr/>
            </w:pPr>
            <w:r>
              <w:rPr/>
              <w:t> </w:t>
            </w:r>
          </w:p>
        </w:tc>
        <w:tc>
          <w:tcPr>
            <w:tcW w:w="129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July 31, 2026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(1)</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6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0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(3)</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94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(4)</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87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(5)</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87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3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(7)</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0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(8)</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0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July 31, 2026</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441" w:type="dxa"/>
            <w:tcBorders/>
            <w:vAlign w:val="center"/>
          </w:tcPr>
          <w:p>
            <w:pPr>
              <w:pStyle w:val="TableContents"/>
              <w:bidi w:val="0"/>
              <w:spacing w:before="0" w:after="283"/>
              <w:jc w:val="center"/>
              <w:rPr/>
            </w:pPr>
            <w:r>
              <w:rPr/>
              <w:t> </w:t>
            </w:r>
          </w:p>
        </w:tc>
        <w:tc>
          <w:tcPr>
            <w:tcW w:w="14057" w:type="dxa"/>
            <w:gridSpan w:val="38"/>
            <w:tcBorders/>
            <w:vAlign w:val="center"/>
          </w:tcPr>
          <w:p>
            <w:pPr>
              <w:pStyle w:val="TableContents"/>
              <w:bidi w:val="0"/>
              <w:spacing w:before="0" w:after="283"/>
              <w:jc w:val="center"/>
              <w:rPr/>
            </w:pPr>
            <w:r>
              <w:rPr>
                <w:rStyle w:val="StrongEmphasis"/>
              </w:rPr>
              <w:t>(in thousands, except percentages and per share data)</w:t>
            </w:r>
          </w:p>
        </w:tc>
        <w:tc>
          <w:tcPr>
            <w:tcW w:w="346" w:type="dxa"/>
            <w:tcBorders/>
            <w:vAlign w:val="center"/>
          </w:tcPr>
          <w:p>
            <w:pPr>
              <w:pStyle w:val="TableContents"/>
              <w:bidi w:val="0"/>
              <w:spacing w:before="0" w:after="283"/>
              <w:jc w:val="center"/>
              <w:rPr/>
            </w:pPr>
            <w:r>
              <w:rPr/>
              <w:t> </w:t>
            </w:r>
          </w:p>
        </w:tc>
      </w:tr>
      <w:tr>
        <w:trPr/>
        <w:tc>
          <w:tcPr>
            <w:tcW w:w="1441" w:type="dxa"/>
            <w:tcBorders/>
            <w:vAlign w:val="center"/>
          </w:tcPr>
          <w:p>
            <w:pPr>
              <w:pStyle w:val="TableContents"/>
              <w:bidi w:val="0"/>
              <w:spacing w:before="0" w:after="283"/>
              <w:jc w:val="left"/>
              <w:rPr/>
            </w:pPr>
            <w:r>
              <w:rPr/>
              <w:t>Gross profit</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651,351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8,458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466" w:type="dxa"/>
            <w:tcBorders/>
            <w:vAlign w:val="center"/>
          </w:tcPr>
          <w:p>
            <w:pPr>
              <w:pStyle w:val="TableContents"/>
              <w:bidi w:val="0"/>
              <w:spacing w:before="0" w:after="283"/>
              <w:jc w:val="right"/>
              <w:rPr/>
            </w:pPr>
            <w:r>
              <w:rPr/>
              <w:t>106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3,706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041" w:type="dxa"/>
            <w:tcBorders/>
            <w:vAlign w:val="center"/>
          </w:tcPr>
          <w:p>
            <w:pPr>
              <w:pStyle w:val="TableContents"/>
              <w:bidi w:val="0"/>
              <w:spacing w:before="0" w:after="283"/>
              <w:jc w:val="right"/>
              <w:rPr/>
            </w:pPr>
            <w:r>
              <w:rPr/>
              <w:t>663,621</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Gross margin</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86.0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0.5</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87.7</w:t>
            </w:r>
          </w:p>
        </w:tc>
        <w:tc>
          <w:tcPr>
            <w:tcW w:w="346" w:type="dxa"/>
            <w:tcBorders/>
            <w:vAlign w:val="center"/>
          </w:tcPr>
          <w:p>
            <w:pPr>
              <w:pStyle w:val="TableContents"/>
              <w:bidi w:val="0"/>
              <w:spacing w:before="0" w:after="283"/>
              <w:jc w:val="left"/>
              <w:rPr/>
            </w:pPr>
            <w:r>
              <w:rPr/>
              <w:t>%</w:t>
            </w:r>
          </w:p>
        </w:tc>
      </w:tr>
      <w:tr>
        <w:trPr/>
        <w:tc>
          <w:tcPr>
            <w:tcW w:w="1441" w:type="dxa"/>
            <w:tcBorders/>
            <w:vAlign w:val="center"/>
          </w:tcPr>
          <w:p>
            <w:pPr>
              <w:pStyle w:val="TableContents"/>
              <w:bidi w:val="0"/>
              <w:spacing w:before="0" w:after="283"/>
              <w:jc w:val="left"/>
              <w:rPr/>
            </w:pPr>
            <w:r>
              <w:rPr/>
              <w:t>Operating expenses:</w:t>
            </w:r>
          </w:p>
        </w:tc>
        <w:tc>
          <w:tcPr>
            <w:tcW w:w="1292"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1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Sales and marketing</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303,897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(22,332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(90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(17,597</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263,878</w:t>
            </w:r>
          </w:p>
        </w:tc>
        <w:tc>
          <w:tcPr>
            <w:tcW w:w="346" w:type="dxa"/>
            <w:tcBorders/>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Research and development</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205,053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(45,481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(5,173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154,399</w:t>
            </w:r>
          </w:p>
        </w:tc>
        <w:tc>
          <w:tcPr>
            <w:tcW w:w="346" w:type="dxa"/>
            <w:tcBorders/>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72,412</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(18,254</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(1,162</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(5,248</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(408</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47,340</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Total operating expenses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581,362</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(86,067</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(90</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(23,932</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2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(5,248</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(408</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465,617</w:t>
            </w:r>
          </w:p>
        </w:tc>
        <w:tc>
          <w:tcPr>
            <w:tcW w:w="3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Income from operations</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69,989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94,525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196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27,638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5,248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408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198,004</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Operating margin</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9.2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12.5</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3.7</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0.7</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0.1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26.2</w:t>
            </w:r>
          </w:p>
        </w:tc>
        <w:tc>
          <w:tcPr>
            <w:tcW w:w="346" w:type="dxa"/>
            <w:tcBorders/>
            <w:vAlign w:val="center"/>
          </w:tcPr>
          <w:p>
            <w:pPr>
              <w:pStyle w:val="TableContents"/>
              <w:bidi w:val="0"/>
              <w:spacing w:before="0" w:after="283"/>
              <w:jc w:val="left"/>
              <w:rPr/>
            </w:pPr>
            <w:r>
              <w:rPr/>
              <w:t>%</w:t>
            </w:r>
          </w:p>
        </w:tc>
      </w:tr>
      <w:tr>
        <w:trPr/>
        <w:tc>
          <w:tcPr>
            <w:tcW w:w="1441" w:type="dxa"/>
            <w:tcBorders/>
            <w:vAlign w:val="center"/>
          </w:tcPr>
          <w:p>
            <w:pPr>
              <w:pStyle w:val="TableContents"/>
              <w:bidi w:val="0"/>
              <w:spacing w:before="0" w:after="283"/>
              <w:jc w:val="left"/>
              <w:rPr/>
            </w:pPr>
            <w:r>
              <w:rPr/>
              <w:t>Net income</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1,269,632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94,525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466" w:type="dxa"/>
            <w:tcBorders/>
            <w:vAlign w:val="center"/>
          </w:tcPr>
          <w:p>
            <w:pPr>
              <w:pStyle w:val="TableContents"/>
              <w:bidi w:val="0"/>
              <w:spacing w:before="0" w:after="283"/>
              <w:jc w:val="right"/>
              <w:rPr/>
            </w:pPr>
            <w:r>
              <w:rPr/>
              <w:t>196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27,638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5,248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5,868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3,001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(1,208,216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(22,539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041" w:type="dxa"/>
            <w:tcBorders/>
            <w:vAlign w:val="center"/>
          </w:tcPr>
          <w:p>
            <w:pPr>
              <w:pStyle w:val="TableContents"/>
              <w:bidi w:val="0"/>
              <w:spacing w:before="0" w:after="283"/>
              <w:jc w:val="right"/>
              <w:rPr/>
            </w:pPr>
            <w:r>
              <w:rPr/>
              <w:t>175,353</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Weighted shares outstanding, basic</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270,570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1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270,570</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 xml:space="preserve">Weighted shares outstanding, diluted </w:t>
            </w:r>
            <w:r>
              <w:rPr>
                <w:position w:val="8"/>
                <w:sz w:val="19"/>
              </w:rPr>
              <w:t>(9)</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292,736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1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292,736</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Net income per share, basic</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4.69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0.36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4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0.10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0.02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0.02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0.01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(4.47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(0.08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041" w:type="dxa"/>
            <w:tcBorders/>
            <w:vAlign w:val="center"/>
          </w:tcPr>
          <w:p>
            <w:pPr>
              <w:pStyle w:val="TableContents"/>
              <w:bidi w:val="0"/>
              <w:spacing w:before="0" w:after="283"/>
              <w:jc w:val="right"/>
              <w:rPr/>
            </w:pPr>
            <w:r>
              <w:rPr/>
              <w:t>0.65</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 xml:space="preserve">Net income per share, diluted </w:t>
            </w:r>
            <w:r>
              <w:rPr>
                <w:position w:val="8"/>
                <w:sz w:val="19"/>
              </w:rPr>
              <w:t>(10)</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4.34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1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041" w:type="dxa"/>
            <w:tcBorders/>
            <w:vAlign w:val="center"/>
          </w:tcPr>
          <w:p>
            <w:pPr>
              <w:pStyle w:val="TableContents"/>
              <w:bidi w:val="0"/>
              <w:spacing w:before="0" w:after="283"/>
              <w:jc w:val="right"/>
              <w:rPr/>
            </w:pPr>
            <w:r>
              <w:rPr/>
              <w:t>0.60</w:t>
            </w:r>
          </w:p>
        </w:tc>
        <w:tc>
          <w:tcPr>
            <w:tcW w:w="346" w:type="dxa"/>
            <w:tcBorders/>
            <w:vAlign w:val="center"/>
          </w:tcPr>
          <w:p>
            <w:pPr>
              <w:pStyle w:val="TableContents"/>
              <w:bidi w:val="0"/>
              <w:spacing w:before="0" w:after="283"/>
              <w:jc w:val="left"/>
              <w:rPr/>
            </w:pPr>
            <w:r>
              <w:rPr/>
              <w:t> </w:t>
            </w:r>
          </w:p>
        </w:tc>
      </w:tr>
    </w:tbl>
    <w:p>
      <w:pPr>
        <w:pStyle w:val="TextBody"/>
        <w:bidi w:val="0"/>
        <w:spacing w:before="0" w:after="283"/>
        <w:jc w:val="left"/>
        <w:rPr/>
      </w:pPr>
      <w:r>
        <w:rPr/>
        <w:t>__________________________</w:t>
        <w:br/>
        <w:t>(1) Stock-based compensation expense</w:t>
        <w:br/>
        <w:t>(2) Amortization of intangible assets</w:t>
        <w:br/>
        <w:t>(3) Restructuring charges</w:t>
        <w:br/>
        <w:t>(4) Legal fees</w:t>
        <w:br/>
        <w:t>(5) Change in fair value of convertible note receivable and other</w:t>
        <w:br/>
        <w:t>(6) Amortization of debt issuance costs and interest expense related to debt</w:t>
        <w:br/>
        <w:t>(7) Valuation allowance release related to our U.S. deferred tax assets</w:t>
        <w:br/>
        <w:t>(8) Income tax effect of non-GAAP adjustments. We use a long-term projected non-GAAP tax rate of 20% for the purposes of determining our non-GAAP net income and non-GAAP income per share, which is based on our current long-term projections. We believe the use of a long-term projected tax rate of 20% aligns with the non-GAAP measure of profitability, reduces volatility of the non-GAAP tax rate and provides consistency across reporting periods. Our estimated long-term projected tax rate is subject to change for a variety of reasons, including tax law changes in major jurisdictions in which we operate, changes in our geographic earnings mix, or other changes to our strategy or business operations. We will re-evaluate our long-term projected tax rate as appropriate.</w:t>
        <w:br/>
        <w:t>(9) Includes 22,166 potentially dilutive shares related to convertible senior notes and the issuance of shares under employee equity incentive plans</w:t>
        <w:br/>
        <w:t>(10) In accordance with ASC 260, in order to calculate GAAP net income per share, diluted, the numerator has been adjusted to add back $1,099 of interest expense related to the convertible senior notes</w:t>
      </w:r>
    </w:p>
    <w:p>
      <w:pPr>
        <w:pStyle w:val="TextBody"/>
        <w:bidi w:val="0"/>
        <w:spacing w:before="0" w:after="283"/>
        <w:jc w:val="left"/>
        <w:rPr/>
      </w:pPr>
      <w:r>
        <w:rPr/>
      </w:r>
    </w:p>
    <w:tbl>
      <w:tblPr>
        <w:tblW w:w="16279" w:type="dxa"/>
        <w:jc w:val="center"/>
        <w:tblInd w:w="0" w:type="dxa"/>
        <w:tblLayout w:type="fixed"/>
        <w:tblCellMar>
          <w:top w:w="28" w:type="dxa"/>
          <w:left w:w="28" w:type="dxa"/>
          <w:bottom w:w="28" w:type="dxa"/>
          <w:right w:w="28" w:type="dxa"/>
        </w:tblCellMar>
      </w:tblPr>
      <w:tblGrid>
        <w:gridCol w:w="1441"/>
        <w:gridCol w:w="226"/>
        <w:gridCol w:w="1066"/>
        <w:gridCol w:w="301"/>
        <w:gridCol w:w="146"/>
        <w:gridCol w:w="226"/>
        <w:gridCol w:w="961"/>
        <w:gridCol w:w="301"/>
        <w:gridCol w:w="146"/>
        <w:gridCol w:w="226"/>
        <w:gridCol w:w="541"/>
        <w:gridCol w:w="181"/>
        <w:gridCol w:w="146"/>
        <w:gridCol w:w="226"/>
        <w:gridCol w:w="841"/>
        <w:gridCol w:w="301"/>
        <w:gridCol w:w="146"/>
        <w:gridCol w:w="226"/>
        <w:gridCol w:w="841"/>
        <w:gridCol w:w="301"/>
        <w:gridCol w:w="146"/>
        <w:gridCol w:w="226"/>
        <w:gridCol w:w="646"/>
        <w:gridCol w:w="181"/>
        <w:gridCol w:w="146"/>
        <w:gridCol w:w="226"/>
        <w:gridCol w:w="766"/>
        <w:gridCol w:w="146"/>
        <w:gridCol w:w="146"/>
        <w:gridCol w:w="226"/>
        <w:gridCol w:w="1141"/>
        <w:gridCol w:w="181"/>
        <w:gridCol w:w="146"/>
        <w:gridCol w:w="226"/>
        <w:gridCol w:w="961"/>
        <w:gridCol w:w="181"/>
        <w:gridCol w:w="146"/>
        <w:gridCol w:w="228"/>
        <w:gridCol w:w="1078"/>
        <w:gridCol w:w="346"/>
      </w:tblGrid>
      <w:tr>
        <w:trPr/>
        <w:tc>
          <w:tcPr>
            <w:tcW w:w="1441" w:type="dxa"/>
            <w:tcBorders/>
            <w:vAlign w:val="center"/>
          </w:tcPr>
          <w:p>
            <w:pPr>
              <w:pStyle w:val="TableContents"/>
              <w:bidi w:val="0"/>
              <w:spacing w:before="0" w:after="283"/>
              <w:jc w:val="center"/>
              <w:rPr/>
            </w:pPr>
            <w:r>
              <w:rPr/>
              <w:t> </w:t>
            </w:r>
          </w:p>
        </w:tc>
        <w:tc>
          <w:tcPr>
            <w:tcW w:w="1292" w:type="dxa"/>
            <w:gridSpan w:val="2"/>
            <w:tcBorders/>
            <w:vAlign w:val="center"/>
          </w:tcPr>
          <w:p>
            <w:pPr>
              <w:pStyle w:val="TableContents"/>
              <w:bidi w:val="0"/>
              <w:spacing w:before="0" w:after="283"/>
              <w:jc w:val="center"/>
              <w:rPr/>
            </w:pPr>
            <w:r>
              <w:rPr>
                <w:rStyle w:val="StrongEmphasis"/>
              </w:rPr>
              <w:t>GAAP</w:t>
            </w:r>
          </w:p>
        </w:tc>
        <w:tc>
          <w:tcPr>
            <w:tcW w:w="3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120" w:type="dxa"/>
            <w:gridSpan w:val="30"/>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Non-GAAP Adjustments</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center"/>
              <w:rPr/>
            </w:pPr>
            <w:r>
              <w:rPr>
                <w:rStyle w:val="StrongEmphasis"/>
              </w:rPr>
              <w:t>Non-GAAP</w:t>
            </w:r>
          </w:p>
        </w:tc>
        <w:tc>
          <w:tcPr>
            <w:tcW w:w="346" w:type="dxa"/>
            <w:tcBorders/>
            <w:vAlign w:val="center"/>
          </w:tcPr>
          <w:p>
            <w:pPr>
              <w:pStyle w:val="TableContents"/>
              <w:bidi w:val="0"/>
              <w:spacing w:before="0" w:after="283"/>
              <w:jc w:val="center"/>
              <w:rPr/>
            </w:pPr>
            <w:r>
              <w:rPr/>
              <w:t> </w:t>
            </w:r>
          </w:p>
        </w:tc>
      </w:tr>
      <w:tr>
        <w:trPr/>
        <w:tc>
          <w:tcPr>
            <w:tcW w:w="1441" w:type="dxa"/>
            <w:tcBorders/>
            <w:vAlign w:val="center"/>
          </w:tcPr>
          <w:p>
            <w:pPr>
              <w:pStyle w:val="TableContents"/>
              <w:bidi w:val="0"/>
              <w:spacing w:before="0" w:after="283"/>
              <w:jc w:val="center"/>
              <w:rPr/>
            </w:pPr>
            <w:r>
              <w:rPr/>
              <w:t> </w:t>
            </w:r>
          </w:p>
        </w:tc>
        <w:tc>
          <w:tcPr>
            <w:tcW w:w="129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Fiscal Year Ended July 31, 2026</w:t>
            </w:r>
          </w:p>
        </w:tc>
        <w:tc>
          <w:tcPr>
            <w:tcW w:w="3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(1)</w:t>
            </w:r>
          </w:p>
        </w:tc>
        <w:tc>
          <w:tcPr>
            <w:tcW w:w="30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7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w:t>
            </w:r>
          </w:p>
        </w:tc>
        <w:tc>
          <w:tcPr>
            <w:tcW w:w="18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0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(3)</w:t>
            </w:r>
          </w:p>
        </w:tc>
        <w:tc>
          <w:tcPr>
            <w:tcW w:w="30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0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(4)</w:t>
            </w:r>
          </w:p>
        </w:tc>
        <w:tc>
          <w:tcPr>
            <w:tcW w:w="30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87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(5)</w:t>
            </w:r>
          </w:p>
        </w:tc>
        <w:tc>
          <w:tcPr>
            <w:tcW w:w="18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(6)</w:t>
            </w:r>
          </w:p>
        </w:tc>
        <w:tc>
          <w:tcPr>
            <w:tcW w:w="146"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3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(7)</w:t>
            </w:r>
          </w:p>
        </w:tc>
        <w:tc>
          <w:tcPr>
            <w:tcW w:w="18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18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(8)</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0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Fiscal Year Ended July 31, 2026</w:t>
            </w:r>
          </w:p>
        </w:tc>
        <w:tc>
          <w:tcPr>
            <w:tcW w:w="346" w:type="dxa"/>
            <w:tcBorders/>
            <w:vAlign w:val="center"/>
          </w:tcPr>
          <w:p>
            <w:pPr>
              <w:pStyle w:val="TableContents"/>
              <w:bidi w:val="0"/>
              <w:spacing w:before="0" w:after="283"/>
              <w:jc w:val="center"/>
              <w:rPr/>
            </w:pPr>
            <w:r>
              <w:rPr/>
              <w:t> </w:t>
            </w:r>
          </w:p>
        </w:tc>
      </w:tr>
      <w:tr>
        <w:trPr/>
        <w:tc>
          <w:tcPr>
            <w:tcW w:w="1441" w:type="dxa"/>
            <w:tcBorders/>
            <w:vAlign w:val="center"/>
          </w:tcPr>
          <w:p>
            <w:pPr>
              <w:pStyle w:val="TableContents"/>
              <w:bidi w:val="0"/>
              <w:spacing w:before="0" w:after="283"/>
              <w:jc w:val="center"/>
              <w:rPr/>
            </w:pPr>
            <w:r>
              <w:rPr/>
              <w:t> </w:t>
            </w:r>
          </w:p>
        </w:tc>
        <w:tc>
          <w:tcPr>
            <w:tcW w:w="14492" w:type="dxa"/>
            <w:gridSpan w:val="38"/>
            <w:tcBorders/>
            <w:vAlign w:val="center"/>
          </w:tcPr>
          <w:p>
            <w:pPr>
              <w:pStyle w:val="TableContents"/>
              <w:bidi w:val="0"/>
              <w:spacing w:before="0" w:after="283"/>
              <w:jc w:val="center"/>
              <w:rPr/>
            </w:pPr>
            <w:r>
              <w:rPr>
                <w:rStyle w:val="StrongEmphasis"/>
              </w:rPr>
              <w:t>(in thousands, except percentages and per share data)</w:t>
            </w:r>
          </w:p>
        </w:tc>
        <w:tc>
          <w:tcPr>
            <w:tcW w:w="346" w:type="dxa"/>
            <w:tcBorders/>
            <w:vAlign w:val="center"/>
          </w:tcPr>
          <w:p>
            <w:pPr>
              <w:pStyle w:val="TableContents"/>
              <w:bidi w:val="0"/>
              <w:spacing w:before="0" w:after="283"/>
              <w:jc w:val="center"/>
              <w:rPr/>
            </w:pPr>
            <w:r>
              <w:rPr/>
              <w:t> </w:t>
            </w:r>
          </w:p>
        </w:tc>
      </w:tr>
      <w:tr>
        <w:trPr/>
        <w:tc>
          <w:tcPr>
            <w:tcW w:w="1441" w:type="dxa"/>
            <w:tcBorders/>
            <w:vAlign w:val="center"/>
          </w:tcPr>
          <w:p>
            <w:pPr>
              <w:pStyle w:val="TableContents"/>
              <w:bidi w:val="0"/>
              <w:spacing w:before="0" w:after="283"/>
              <w:jc w:val="left"/>
              <w:rPr/>
            </w:pPr>
            <w:r>
              <w:rPr/>
              <w:t>Gross profit</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2,476,796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29,740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424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3,706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2,510,666</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Gross margin</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86.8</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0.1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88.0</w:t>
            </w:r>
          </w:p>
        </w:tc>
        <w:tc>
          <w:tcPr>
            <w:tcW w:w="346" w:type="dxa"/>
            <w:tcBorders/>
            <w:vAlign w:val="center"/>
          </w:tcPr>
          <w:p>
            <w:pPr>
              <w:pStyle w:val="TableContents"/>
              <w:bidi w:val="0"/>
              <w:spacing w:before="0" w:after="283"/>
              <w:jc w:val="left"/>
              <w:rPr/>
            </w:pPr>
            <w:r>
              <w:rPr/>
              <w:t>%</w:t>
            </w:r>
          </w:p>
        </w:tc>
      </w:tr>
      <w:tr>
        <w:trPr/>
        <w:tc>
          <w:tcPr>
            <w:tcW w:w="1441" w:type="dxa"/>
            <w:tcBorders/>
            <w:vAlign w:val="center"/>
          </w:tcPr>
          <w:p>
            <w:pPr>
              <w:pStyle w:val="TableContents"/>
              <w:bidi w:val="0"/>
              <w:spacing w:before="0" w:after="283"/>
              <w:jc w:val="left"/>
              <w:rPr/>
            </w:pPr>
            <w:r>
              <w:rPr/>
              <w:t>Operating expenses:</w:t>
            </w:r>
          </w:p>
        </w:tc>
        <w:tc>
          <w:tcPr>
            <w:tcW w:w="1292"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Sales and marketing</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1,150,278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(82,402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(354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(17,597</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1,049,925</w:t>
            </w:r>
          </w:p>
        </w:tc>
        <w:tc>
          <w:tcPr>
            <w:tcW w:w="346" w:type="dxa"/>
            <w:tcBorders/>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Research and development</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790,892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(180,844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(5,173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604,875</w:t>
            </w:r>
          </w:p>
        </w:tc>
        <w:tc>
          <w:tcPr>
            <w:tcW w:w="346" w:type="dxa"/>
            <w:tcBorders/>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261,656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(64,681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(1,162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(14,899</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180,506</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Total operating expenses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2,202,826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(327,927</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(354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(23,932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(14,899</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(408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7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1,835,306</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Income from operations</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273,970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357,667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778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27,638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14,899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408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675,360</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Operating margin</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9.6</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12.6</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0.5</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23.7</w:t>
            </w:r>
          </w:p>
        </w:tc>
        <w:tc>
          <w:tcPr>
            <w:tcW w:w="346" w:type="dxa"/>
            <w:tcBorders/>
            <w:vAlign w:val="center"/>
          </w:tcPr>
          <w:p>
            <w:pPr>
              <w:pStyle w:val="TableContents"/>
              <w:bidi w:val="0"/>
              <w:spacing w:before="0" w:after="283"/>
              <w:jc w:val="left"/>
              <w:rPr/>
            </w:pPr>
            <w:r>
              <w:rPr/>
              <w:t>%</w:t>
            </w:r>
          </w:p>
        </w:tc>
      </w:tr>
      <w:tr>
        <w:trPr/>
        <w:tc>
          <w:tcPr>
            <w:tcW w:w="1441" w:type="dxa"/>
            <w:tcBorders/>
            <w:vAlign w:val="center"/>
          </w:tcPr>
          <w:p>
            <w:pPr>
              <w:pStyle w:val="TableContents"/>
              <w:bidi w:val="0"/>
              <w:spacing w:before="0" w:after="283"/>
              <w:jc w:val="left"/>
              <w:rPr/>
            </w:pPr>
            <w:r>
              <w:rPr/>
              <w:t>Net income</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1,506,837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357,667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778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27,638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14,899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5,868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11,986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(1,208,216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(120,702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596,755</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Weighted shares outstanding, basic</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268,691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268,691</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Weighted shares outstanding, diluted</w:t>
            </w:r>
            <w:r>
              <w:rPr>
                <w:position w:val="8"/>
                <w:sz w:val="19"/>
              </w:rPr>
              <w:t>(9)</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292,183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292,183</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Net income per share, basic</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5.61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1.34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0.10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0.06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0.02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0.04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(4.50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(0.45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2.22</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Net income per share, diluted</w:t>
            </w:r>
            <w:r>
              <w:rPr>
                <w:position w:val="8"/>
                <w:sz w:val="19"/>
              </w:rPr>
              <w:t>(10)</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5.17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7"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2.04</w:t>
            </w:r>
          </w:p>
        </w:tc>
        <w:tc>
          <w:tcPr>
            <w:tcW w:w="346" w:type="dxa"/>
            <w:tcBorders/>
            <w:vAlign w:val="center"/>
          </w:tcPr>
          <w:p>
            <w:pPr>
              <w:pStyle w:val="TableContents"/>
              <w:bidi w:val="0"/>
              <w:spacing w:before="0" w:after="283"/>
              <w:jc w:val="left"/>
              <w:rPr/>
            </w:pPr>
            <w:r>
              <w:rPr/>
              <w:t> </w:t>
            </w:r>
          </w:p>
        </w:tc>
      </w:tr>
    </w:tbl>
    <w:p>
      <w:pPr>
        <w:pStyle w:val="TextBody"/>
        <w:bidi w:val="0"/>
        <w:spacing w:before="0" w:after="283"/>
        <w:jc w:val="left"/>
        <w:rPr/>
      </w:pPr>
      <w:r>
        <w:rPr/>
        <w:t>__________________________</w:t>
        <w:br/>
        <w:t>(1) Stock-based compensation expense</w:t>
        <w:br/>
        <w:t>(2) Amortization of intangible assets</w:t>
        <w:br/>
        <w:t>(3) Restructuring charges</w:t>
        <w:br/>
        <w:t>(4) Legal fees</w:t>
        <w:br/>
        <w:t>(5) Change in fair value of convertible note receivable and other</w:t>
        <w:br/>
        <w:t>(6) Amortization of debt issuance costs and interest expense related to debt</w:t>
        <w:br/>
        <w:t>(7) Valuation allowance release related to our U.S. deferred tax assets</w:t>
        <w:br/>
        <w:t>(8) Income tax effect of non-GAAP adjustments. We use a long-term projected non-GAAP tax rate of 20% for the purposes of determining our non-GAAP net income and non-GAAP income per share, which is based on our current long-term projections. We believe the use of a long-term projected tax rate of 20% aligns with the non-GAAP measure of profitability, reduces volatility of the non-GAAP tax rate and provides consistency across reporting periods. Our estimated long-term projected tax rate is subject to change for a variety of reasons, including tax law changes in major jurisdictions in which we operate, changes in our geographic earnings mix, or other changes to our strategy or business operations. We will re-evaluate our long-term projected tax rate as appropriate.</w:t>
        <w:br/>
        <w:t>(9) Includes 23,492 potentially dilutive shares related to convertible senior notes and the issuance of shares under employee equity incentive plans</w:t>
        <w:br/>
        <w:t>(10) In accordance with ASC 260, in order to calculate GAAP net income per share, diluted, the numerator has been adjusted to add back $4,403 of interest expense related to the convertible senior notes</w:t>
      </w:r>
    </w:p>
    <w:p>
      <w:pPr>
        <w:pStyle w:val="TextBody"/>
        <w:bidi w:val="0"/>
        <w:spacing w:before="0" w:after="283"/>
        <w:jc w:val="left"/>
        <w:rPr/>
      </w:pPr>
      <w:r>
        <w:rPr/>
      </w:r>
    </w:p>
    <w:tbl>
      <w:tblPr>
        <w:tblW w:w="12231" w:type="dxa"/>
        <w:jc w:val="center"/>
        <w:tblInd w:w="0" w:type="dxa"/>
        <w:tblLayout w:type="fixed"/>
        <w:tblCellMar>
          <w:top w:w="28" w:type="dxa"/>
          <w:left w:w="28" w:type="dxa"/>
          <w:bottom w:w="28" w:type="dxa"/>
          <w:right w:w="28" w:type="dxa"/>
        </w:tblCellMar>
      </w:tblPr>
      <w:tblGrid>
        <w:gridCol w:w="1441"/>
        <w:gridCol w:w="226"/>
        <w:gridCol w:w="886"/>
        <w:gridCol w:w="301"/>
        <w:gridCol w:w="146"/>
        <w:gridCol w:w="226"/>
        <w:gridCol w:w="841"/>
        <w:gridCol w:w="301"/>
        <w:gridCol w:w="146"/>
        <w:gridCol w:w="226"/>
        <w:gridCol w:w="466"/>
        <w:gridCol w:w="181"/>
        <w:gridCol w:w="146"/>
        <w:gridCol w:w="226"/>
        <w:gridCol w:w="721"/>
        <w:gridCol w:w="301"/>
        <w:gridCol w:w="146"/>
        <w:gridCol w:w="226"/>
        <w:gridCol w:w="541"/>
        <w:gridCol w:w="181"/>
        <w:gridCol w:w="146"/>
        <w:gridCol w:w="226"/>
        <w:gridCol w:w="646"/>
        <w:gridCol w:w="146"/>
        <w:gridCol w:w="146"/>
        <w:gridCol w:w="226"/>
        <w:gridCol w:w="841"/>
        <w:gridCol w:w="181"/>
        <w:gridCol w:w="146"/>
        <w:gridCol w:w="265"/>
        <w:gridCol w:w="1041"/>
        <w:gridCol w:w="346"/>
      </w:tblGrid>
      <w:tr>
        <w:trPr/>
        <w:tc>
          <w:tcPr>
            <w:tcW w:w="1441" w:type="dxa"/>
            <w:tcBorders/>
            <w:vAlign w:val="center"/>
          </w:tcPr>
          <w:p>
            <w:pPr>
              <w:pStyle w:val="TableContents"/>
              <w:bidi w:val="0"/>
              <w:spacing w:before="0" w:after="283"/>
              <w:jc w:val="center"/>
              <w:rPr/>
            </w:pPr>
            <w:r>
              <w:rPr/>
              <w:t> </w:t>
            </w:r>
          </w:p>
        </w:tc>
        <w:tc>
          <w:tcPr>
            <w:tcW w:w="1112" w:type="dxa"/>
            <w:gridSpan w:val="2"/>
            <w:tcBorders/>
            <w:vAlign w:val="center"/>
          </w:tcPr>
          <w:p>
            <w:pPr>
              <w:pStyle w:val="TableContents"/>
              <w:bidi w:val="0"/>
              <w:spacing w:before="0" w:after="283"/>
              <w:jc w:val="center"/>
              <w:rPr/>
            </w:pPr>
            <w:r>
              <w:rPr>
                <w:rStyle w:val="StrongEmphasis"/>
              </w:rPr>
              <w:t>GAAP</w:t>
            </w:r>
          </w:p>
        </w:tc>
        <w:tc>
          <w:tcPr>
            <w:tcW w:w="3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252" w:type="dxa"/>
            <w:gridSpan w:val="2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Non-GAAP Adjustments</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center"/>
              <w:rPr/>
            </w:pPr>
            <w:r>
              <w:rPr>
                <w:rStyle w:val="StrongEmphasis"/>
              </w:rPr>
              <w:t>Non-GAAP</w:t>
            </w:r>
          </w:p>
        </w:tc>
        <w:tc>
          <w:tcPr>
            <w:tcW w:w="346" w:type="dxa"/>
            <w:tcBorders/>
            <w:vAlign w:val="center"/>
          </w:tcPr>
          <w:p>
            <w:pPr>
              <w:pStyle w:val="TableContents"/>
              <w:bidi w:val="0"/>
              <w:spacing w:before="0" w:after="283"/>
              <w:jc w:val="center"/>
              <w:rPr/>
            </w:pPr>
            <w:r>
              <w:rPr/>
              <w:t> </w:t>
            </w:r>
          </w:p>
        </w:tc>
      </w:tr>
      <w:tr>
        <w:trPr/>
        <w:tc>
          <w:tcPr>
            <w:tcW w:w="1441" w:type="dxa"/>
            <w:tcBorders/>
            <w:vAlign w:val="center"/>
          </w:tcPr>
          <w:p>
            <w:pPr>
              <w:pStyle w:val="TableContents"/>
              <w:bidi w:val="0"/>
              <w:spacing w:before="0" w:after="283"/>
              <w:jc w:val="center"/>
              <w:rPr/>
            </w:pPr>
            <w:r>
              <w:rPr/>
              <w:t> </w:t>
            </w:r>
          </w:p>
        </w:tc>
        <w:tc>
          <w:tcPr>
            <w:tcW w:w="111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July 31, 2025</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(1)</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6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94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(3)</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7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(4)</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87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(5)</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0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(6)</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0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July 31, 2025</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441" w:type="dxa"/>
            <w:tcBorders/>
            <w:vAlign w:val="center"/>
          </w:tcPr>
          <w:p>
            <w:pPr>
              <w:pStyle w:val="TableContents"/>
              <w:bidi w:val="0"/>
              <w:spacing w:before="0" w:after="283"/>
              <w:jc w:val="center"/>
              <w:rPr/>
            </w:pPr>
            <w:r>
              <w:rPr/>
              <w:t> </w:t>
            </w:r>
          </w:p>
        </w:tc>
        <w:tc>
          <w:tcPr>
            <w:tcW w:w="10444" w:type="dxa"/>
            <w:gridSpan w:val="30"/>
            <w:tcBorders/>
            <w:vAlign w:val="center"/>
          </w:tcPr>
          <w:p>
            <w:pPr>
              <w:pStyle w:val="TableContents"/>
              <w:bidi w:val="0"/>
              <w:spacing w:before="0" w:after="283"/>
              <w:jc w:val="center"/>
              <w:rPr/>
            </w:pPr>
            <w:r>
              <w:rPr>
                <w:rStyle w:val="StrongEmphasis"/>
              </w:rPr>
              <w:t>(in thousands, except percentages and per share data)</w:t>
            </w:r>
          </w:p>
        </w:tc>
        <w:tc>
          <w:tcPr>
            <w:tcW w:w="346" w:type="dxa"/>
            <w:tcBorders/>
            <w:vAlign w:val="center"/>
          </w:tcPr>
          <w:p>
            <w:pPr>
              <w:pStyle w:val="TableContents"/>
              <w:bidi w:val="0"/>
              <w:spacing w:before="0" w:after="283"/>
              <w:jc w:val="center"/>
              <w:rPr/>
            </w:pPr>
            <w:r>
              <w:rPr/>
              <w:t> </w:t>
            </w:r>
          </w:p>
        </w:tc>
      </w:tr>
      <w:tr>
        <w:trPr/>
        <w:tc>
          <w:tcPr>
            <w:tcW w:w="1441" w:type="dxa"/>
            <w:tcBorders/>
            <w:vAlign w:val="center"/>
          </w:tcPr>
          <w:p>
            <w:pPr>
              <w:pStyle w:val="TableContents"/>
              <w:bidi w:val="0"/>
              <w:spacing w:before="0" w:after="283"/>
              <w:jc w:val="left"/>
              <w:rPr/>
            </w:pPr>
            <w:r>
              <w:rPr/>
              <w:t>Gross profit</w:t>
            </w:r>
          </w:p>
        </w:tc>
        <w:tc>
          <w:tcPr>
            <w:tcW w:w="226"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569,434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7,213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466" w:type="dxa"/>
            <w:tcBorders/>
            <w:vAlign w:val="center"/>
          </w:tcPr>
          <w:p>
            <w:pPr>
              <w:pStyle w:val="TableContents"/>
              <w:bidi w:val="0"/>
              <w:spacing w:before="0" w:after="283"/>
              <w:jc w:val="right"/>
              <w:rPr/>
            </w:pPr>
            <w:r>
              <w:rPr/>
              <w:t>105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041" w:type="dxa"/>
            <w:tcBorders/>
            <w:vAlign w:val="center"/>
          </w:tcPr>
          <w:p>
            <w:pPr>
              <w:pStyle w:val="TableContents"/>
              <w:bidi w:val="0"/>
              <w:spacing w:before="0" w:after="283"/>
              <w:jc w:val="right"/>
              <w:rPr/>
            </w:pPr>
            <w:r>
              <w:rPr/>
              <w:t>576,752</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Gross margin</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87.2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88.3</w:t>
            </w:r>
          </w:p>
        </w:tc>
        <w:tc>
          <w:tcPr>
            <w:tcW w:w="346" w:type="dxa"/>
            <w:tcBorders/>
            <w:vAlign w:val="center"/>
          </w:tcPr>
          <w:p>
            <w:pPr>
              <w:pStyle w:val="TableContents"/>
              <w:bidi w:val="0"/>
              <w:spacing w:before="0" w:after="283"/>
              <w:jc w:val="left"/>
              <w:rPr/>
            </w:pPr>
            <w:r>
              <w:rPr/>
              <w:t>%</w:t>
            </w:r>
          </w:p>
        </w:tc>
      </w:tr>
      <w:tr>
        <w:trPr/>
        <w:tc>
          <w:tcPr>
            <w:tcW w:w="1441" w:type="dxa"/>
            <w:tcBorders/>
            <w:vAlign w:val="center"/>
          </w:tcPr>
          <w:p>
            <w:pPr>
              <w:pStyle w:val="TableContents"/>
              <w:bidi w:val="0"/>
              <w:spacing w:before="0" w:after="283"/>
              <w:jc w:val="left"/>
              <w:rPr/>
            </w:pPr>
            <w:r>
              <w:rPr/>
              <w:t>Operating expenses:</w:t>
            </w:r>
          </w:p>
        </w:tc>
        <w:tc>
          <w:tcPr>
            <w:tcW w:w="1112"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Sales and marketing</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281,280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(19,372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(88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261,820</w:t>
            </w:r>
          </w:p>
        </w:tc>
        <w:tc>
          <w:tcPr>
            <w:tcW w:w="346" w:type="dxa"/>
            <w:tcBorders/>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Research and development</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193,666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(42,872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150,794</w:t>
            </w:r>
          </w:p>
        </w:tc>
        <w:tc>
          <w:tcPr>
            <w:tcW w:w="346" w:type="dxa"/>
            <w:tcBorders/>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63,280</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(15,714</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(2,971</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44,595</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Total operating expenses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538,226</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(77,958</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(88</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2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(2,971</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457,209</w:t>
            </w:r>
          </w:p>
        </w:tc>
        <w:tc>
          <w:tcPr>
            <w:tcW w:w="3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Income from operations</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31,208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85,171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193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2,971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119,543</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Operating margin</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4.8</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13.0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0.5</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18.3</w:t>
            </w:r>
          </w:p>
        </w:tc>
        <w:tc>
          <w:tcPr>
            <w:tcW w:w="346" w:type="dxa"/>
            <w:tcBorders/>
            <w:vAlign w:val="center"/>
          </w:tcPr>
          <w:p>
            <w:pPr>
              <w:pStyle w:val="TableContents"/>
              <w:bidi w:val="0"/>
              <w:spacing w:before="0" w:after="283"/>
              <w:jc w:val="left"/>
              <w:rPr/>
            </w:pPr>
            <w:r>
              <w:rPr/>
              <w:t>%</w:t>
            </w:r>
          </w:p>
        </w:tc>
      </w:tr>
      <w:tr>
        <w:trPr/>
        <w:tc>
          <w:tcPr>
            <w:tcW w:w="1441" w:type="dxa"/>
            <w:tcBorders/>
            <w:vAlign w:val="center"/>
          </w:tcPr>
          <w:p>
            <w:pPr>
              <w:pStyle w:val="TableContents"/>
              <w:bidi w:val="0"/>
              <w:spacing w:before="0" w:after="283"/>
              <w:jc w:val="left"/>
              <w:rPr/>
            </w:pPr>
            <w:r>
              <w:rPr/>
              <w:t>Net income</w:t>
            </w:r>
          </w:p>
        </w:tc>
        <w:tc>
          <w:tcPr>
            <w:tcW w:w="226"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38,650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85,171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466" w:type="dxa"/>
            <w:tcBorders/>
            <w:vAlign w:val="center"/>
          </w:tcPr>
          <w:p>
            <w:pPr>
              <w:pStyle w:val="TableContents"/>
              <w:bidi w:val="0"/>
              <w:spacing w:before="0" w:after="283"/>
              <w:jc w:val="right"/>
              <w:rPr/>
            </w:pPr>
            <w:r>
              <w:rPr/>
              <w:t>193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2,971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(100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3,008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(20,784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041" w:type="dxa"/>
            <w:tcBorders/>
            <w:vAlign w:val="center"/>
          </w:tcPr>
          <w:p>
            <w:pPr>
              <w:pStyle w:val="TableContents"/>
              <w:bidi w:val="0"/>
              <w:spacing w:before="0" w:after="283"/>
              <w:jc w:val="right"/>
              <w:rPr/>
            </w:pPr>
            <w:r>
              <w:rPr/>
              <w:t>109,109</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Weighted shares outstanding, basic</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268,659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268,659</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Weighted shares outstanding, diluted</w:t>
            </w:r>
            <w:r>
              <w:rPr>
                <w:position w:val="8"/>
                <w:sz w:val="19"/>
              </w:rPr>
              <w:t>(7)</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297,456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7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right"/>
              <w:rPr/>
            </w:pPr>
            <w:r>
              <w:rPr/>
              <w:t>297,456</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Net income per share, basic</w:t>
            </w:r>
          </w:p>
        </w:tc>
        <w:tc>
          <w:tcPr>
            <w:tcW w:w="226"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0.14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0.33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4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0.01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0.01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(0.08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041" w:type="dxa"/>
            <w:tcBorders/>
            <w:vAlign w:val="center"/>
          </w:tcPr>
          <w:p>
            <w:pPr>
              <w:pStyle w:val="TableContents"/>
              <w:bidi w:val="0"/>
              <w:spacing w:before="0" w:after="283"/>
              <w:jc w:val="right"/>
              <w:rPr/>
            </w:pPr>
            <w:r>
              <w:rPr/>
              <w:t>0.41</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Net income per share, diluted</w:t>
            </w:r>
            <w:r>
              <w:rPr>
                <w:position w:val="8"/>
                <w:sz w:val="19"/>
              </w:rPr>
              <w:t>(8)</w:t>
            </w:r>
          </w:p>
        </w:tc>
        <w:tc>
          <w:tcPr>
            <w:tcW w:w="226" w:type="dxa"/>
            <w:tcBorders/>
            <w:vAlign w:val="center"/>
          </w:tcPr>
          <w:p>
            <w:pPr>
              <w:pStyle w:val="TableContents"/>
              <w:bidi w:val="0"/>
              <w:spacing w:before="0" w:after="283"/>
              <w:jc w:val="left"/>
              <w:rPr/>
            </w:pPr>
            <w:r>
              <w:rPr/>
              <w:t>$</w:t>
            </w:r>
          </w:p>
        </w:tc>
        <w:tc>
          <w:tcPr>
            <w:tcW w:w="886" w:type="dxa"/>
            <w:tcBorders/>
            <w:vAlign w:val="center"/>
          </w:tcPr>
          <w:p>
            <w:pPr>
              <w:pStyle w:val="TableContents"/>
              <w:bidi w:val="0"/>
              <w:spacing w:before="0" w:after="283"/>
              <w:jc w:val="right"/>
              <w:rPr/>
            </w:pPr>
            <w:r>
              <w:rPr/>
              <w:t>0.13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7"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041" w:type="dxa"/>
            <w:tcBorders/>
            <w:vAlign w:val="center"/>
          </w:tcPr>
          <w:p>
            <w:pPr>
              <w:pStyle w:val="TableContents"/>
              <w:bidi w:val="0"/>
              <w:spacing w:before="0" w:after="283"/>
              <w:jc w:val="right"/>
              <w:rPr/>
            </w:pPr>
            <w:r>
              <w:rPr/>
              <w:t>0.37</w:t>
            </w:r>
          </w:p>
        </w:tc>
        <w:tc>
          <w:tcPr>
            <w:tcW w:w="346" w:type="dxa"/>
            <w:tcBorders/>
            <w:vAlign w:val="center"/>
          </w:tcPr>
          <w:p>
            <w:pPr>
              <w:pStyle w:val="TableContents"/>
              <w:bidi w:val="0"/>
              <w:spacing w:before="0" w:after="283"/>
              <w:jc w:val="left"/>
              <w:rPr/>
            </w:pPr>
            <w:r>
              <w:rPr/>
              <w:t> </w:t>
            </w:r>
          </w:p>
        </w:tc>
      </w:tr>
    </w:tbl>
    <w:p>
      <w:pPr>
        <w:pStyle w:val="TextBody"/>
        <w:bidi w:val="0"/>
        <w:spacing w:before="0" w:after="283"/>
        <w:jc w:val="left"/>
        <w:rPr/>
      </w:pPr>
      <w:r>
        <w:rPr/>
        <w:t>__________________________</w:t>
        <w:br/>
        <w:t>(1) Stock-based compensation expense</w:t>
        <w:br/>
        <w:t>(2) Amortization of intangible assets</w:t>
        <w:br/>
        <w:t>(3) Legal fees</w:t>
        <w:br/>
        <w:t>(4) Other</w:t>
        <w:br/>
        <w:t>(5) Amortization of debt issuance costs and interest expense related to debt</w:t>
        <w:br/>
        <w:t>(6) Income tax effect of non-GAAP adjustments. We use a long-term projected non-GAAP tax rate of 20% for the purposes of determining our non-GAAP net income and non-GAAP income per share, which is based on our current long-term projections. We believe the use of a long-term projected tax rate of 20% aligns with the non-GAAP measure of profitability, reduces volatility of the non-GAAP tax rate and provides consistency across reporting periods. Our estimated long-term projected tax rate is subject to change for a variety of reasons, including tax law changes in major jurisdictions in which we operate, changes in our geographic earnings mix, or other changes to our strategy or business operations. We will re-evaluate our long-term projected tax rate as appropriate.</w:t>
        <w:br/>
        <w:t>(7) Includes 28,797 potentially dilutive shares related to convertible senior notes and the issuance of shares under employee equity incentive plans</w:t>
        <w:br/>
        <w:t>(8) In accordance with ASC 260, in order to calculate GAAP net income per share, diluted, the numerator has been adjusted to add back $1,099 of interest expense related to the convertible senior notes</w:t>
      </w:r>
    </w:p>
    <w:p>
      <w:pPr>
        <w:pStyle w:val="TextBody"/>
        <w:bidi w:val="0"/>
        <w:spacing w:before="0" w:after="283"/>
        <w:jc w:val="left"/>
        <w:rPr/>
      </w:pPr>
      <w:r>
        <w:rPr/>
      </w:r>
    </w:p>
    <w:tbl>
      <w:tblPr>
        <w:tblW w:w="14115" w:type="dxa"/>
        <w:jc w:val="center"/>
        <w:tblInd w:w="0" w:type="dxa"/>
        <w:tblLayout w:type="fixed"/>
        <w:tblCellMar>
          <w:top w:w="28" w:type="dxa"/>
          <w:left w:w="28" w:type="dxa"/>
          <w:bottom w:w="28" w:type="dxa"/>
          <w:right w:w="28" w:type="dxa"/>
        </w:tblCellMar>
      </w:tblPr>
      <w:tblGrid>
        <w:gridCol w:w="1441"/>
        <w:gridCol w:w="226"/>
        <w:gridCol w:w="1066"/>
        <w:gridCol w:w="301"/>
        <w:gridCol w:w="146"/>
        <w:gridCol w:w="226"/>
        <w:gridCol w:w="961"/>
        <w:gridCol w:w="301"/>
        <w:gridCol w:w="146"/>
        <w:gridCol w:w="226"/>
        <w:gridCol w:w="646"/>
        <w:gridCol w:w="301"/>
        <w:gridCol w:w="146"/>
        <w:gridCol w:w="226"/>
        <w:gridCol w:w="721"/>
        <w:gridCol w:w="301"/>
        <w:gridCol w:w="146"/>
        <w:gridCol w:w="226"/>
        <w:gridCol w:w="541"/>
        <w:gridCol w:w="181"/>
        <w:gridCol w:w="146"/>
        <w:gridCol w:w="226"/>
        <w:gridCol w:w="766"/>
        <w:gridCol w:w="146"/>
        <w:gridCol w:w="146"/>
        <w:gridCol w:w="226"/>
        <w:gridCol w:w="646"/>
        <w:gridCol w:w="146"/>
        <w:gridCol w:w="146"/>
        <w:gridCol w:w="226"/>
        <w:gridCol w:w="841"/>
        <w:gridCol w:w="181"/>
        <w:gridCol w:w="146"/>
        <w:gridCol w:w="228"/>
        <w:gridCol w:w="1078"/>
        <w:gridCol w:w="346"/>
      </w:tblGrid>
      <w:tr>
        <w:trPr/>
        <w:tc>
          <w:tcPr>
            <w:tcW w:w="1441" w:type="dxa"/>
            <w:tcBorders/>
            <w:vAlign w:val="center"/>
          </w:tcPr>
          <w:p>
            <w:pPr>
              <w:pStyle w:val="TableContents"/>
              <w:bidi w:val="0"/>
              <w:spacing w:before="0" w:after="283"/>
              <w:jc w:val="center"/>
              <w:rPr/>
            </w:pPr>
            <w:r>
              <w:rPr/>
              <w:t> </w:t>
            </w:r>
          </w:p>
        </w:tc>
        <w:tc>
          <w:tcPr>
            <w:tcW w:w="1292" w:type="dxa"/>
            <w:gridSpan w:val="2"/>
            <w:tcBorders/>
            <w:vAlign w:val="center"/>
          </w:tcPr>
          <w:p>
            <w:pPr>
              <w:pStyle w:val="TableContents"/>
              <w:bidi w:val="0"/>
              <w:spacing w:before="0" w:after="283"/>
              <w:jc w:val="center"/>
              <w:rPr/>
            </w:pPr>
            <w:r>
              <w:rPr>
                <w:rStyle w:val="StrongEmphasis"/>
              </w:rPr>
              <w:t>GAAP</w:t>
            </w:r>
          </w:p>
        </w:tc>
        <w:tc>
          <w:tcPr>
            <w:tcW w:w="3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956" w:type="dxa"/>
            <w:gridSpan w:val="2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Non-GAAP Adjustments</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center"/>
              <w:rPr/>
            </w:pPr>
            <w:r>
              <w:rPr>
                <w:rStyle w:val="StrongEmphasis"/>
              </w:rPr>
              <w:t>Non-GAAP</w:t>
            </w:r>
          </w:p>
        </w:tc>
        <w:tc>
          <w:tcPr>
            <w:tcW w:w="346" w:type="dxa"/>
            <w:tcBorders/>
            <w:vAlign w:val="center"/>
          </w:tcPr>
          <w:p>
            <w:pPr>
              <w:pStyle w:val="TableContents"/>
              <w:bidi w:val="0"/>
              <w:spacing w:before="0" w:after="283"/>
              <w:jc w:val="center"/>
              <w:rPr/>
            </w:pPr>
            <w:r>
              <w:rPr/>
              <w:t> </w:t>
            </w:r>
          </w:p>
        </w:tc>
      </w:tr>
      <w:tr>
        <w:trPr/>
        <w:tc>
          <w:tcPr>
            <w:tcW w:w="1441" w:type="dxa"/>
            <w:tcBorders/>
            <w:vAlign w:val="center"/>
          </w:tcPr>
          <w:p>
            <w:pPr>
              <w:pStyle w:val="TableContents"/>
              <w:bidi w:val="0"/>
              <w:spacing w:before="0" w:after="283"/>
              <w:jc w:val="left"/>
              <w:rPr/>
            </w:pPr>
            <w:r>
              <w:rPr/>
              <w:t> </w:t>
            </w:r>
          </w:p>
        </w:tc>
        <w:tc>
          <w:tcPr>
            <w:tcW w:w="129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Fiscal Year Ended July 31, 2025</w:t>
            </w:r>
          </w:p>
        </w:tc>
        <w:tc>
          <w:tcPr>
            <w:tcW w:w="3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8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(1)</w:t>
            </w:r>
          </w:p>
        </w:tc>
        <w:tc>
          <w:tcPr>
            <w:tcW w:w="30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87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w:t>
            </w:r>
          </w:p>
        </w:tc>
        <w:tc>
          <w:tcPr>
            <w:tcW w:w="30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94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(3)</w:t>
            </w:r>
          </w:p>
        </w:tc>
        <w:tc>
          <w:tcPr>
            <w:tcW w:w="30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7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(4)</w:t>
            </w:r>
          </w:p>
        </w:tc>
        <w:tc>
          <w:tcPr>
            <w:tcW w:w="18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(5)</w:t>
            </w:r>
          </w:p>
        </w:tc>
        <w:tc>
          <w:tcPr>
            <w:tcW w:w="146"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87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(6)</w:t>
            </w:r>
          </w:p>
        </w:tc>
        <w:tc>
          <w:tcPr>
            <w:tcW w:w="146"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0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(7)</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0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Fiscal Year Ended July 31, 2025</w:t>
            </w:r>
          </w:p>
        </w:tc>
        <w:tc>
          <w:tcPr>
            <w:tcW w:w="346" w:type="dxa"/>
            <w:tcBorders/>
            <w:vAlign w:val="center"/>
          </w:tcPr>
          <w:p>
            <w:pPr>
              <w:pStyle w:val="TableContents"/>
              <w:bidi w:val="0"/>
              <w:spacing w:before="0" w:after="283"/>
              <w:jc w:val="center"/>
              <w:rPr/>
            </w:pPr>
            <w:r>
              <w:rPr/>
              <w:t> </w:t>
            </w:r>
          </w:p>
        </w:tc>
      </w:tr>
      <w:tr>
        <w:trPr/>
        <w:tc>
          <w:tcPr>
            <w:tcW w:w="1441" w:type="dxa"/>
            <w:tcBorders/>
            <w:vAlign w:val="center"/>
          </w:tcPr>
          <w:p>
            <w:pPr>
              <w:pStyle w:val="TableContents"/>
              <w:bidi w:val="0"/>
              <w:spacing w:before="0" w:after="283"/>
              <w:jc w:val="center"/>
              <w:rPr/>
            </w:pPr>
            <w:r>
              <w:rPr/>
              <w:t> </w:t>
            </w:r>
          </w:p>
        </w:tc>
        <w:tc>
          <w:tcPr>
            <w:tcW w:w="12328" w:type="dxa"/>
            <w:gridSpan w:val="34"/>
            <w:tcBorders/>
            <w:vAlign w:val="center"/>
          </w:tcPr>
          <w:p>
            <w:pPr>
              <w:pStyle w:val="TableContents"/>
              <w:bidi w:val="0"/>
              <w:spacing w:before="0" w:after="283"/>
              <w:jc w:val="center"/>
              <w:rPr/>
            </w:pPr>
            <w:r>
              <w:rPr>
                <w:rStyle w:val="StrongEmphasis"/>
              </w:rPr>
              <w:t>(in thousands, except percentages and per share data)</w:t>
            </w:r>
          </w:p>
        </w:tc>
        <w:tc>
          <w:tcPr>
            <w:tcW w:w="346" w:type="dxa"/>
            <w:tcBorders/>
            <w:vAlign w:val="center"/>
          </w:tcPr>
          <w:p>
            <w:pPr>
              <w:pStyle w:val="TableContents"/>
              <w:bidi w:val="0"/>
              <w:spacing w:before="0" w:after="283"/>
              <w:jc w:val="center"/>
              <w:rPr/>
            </w:pPr>
            <w:r>
              <w:rPr/>
              <w:t> </w:t>
            </w:r>
          </w:p>
        </w:tc>
      </w:tr>
      <w:tr>
        <w:trPr/>
        <w:tc>
          <w:tcPr>
            <w:tcW w:w="1441" w:type="dxa"/>
            <w:tcBorders/>
            <w:vAlign w:val="center"/>
          </w:tcPr>
          <w:p>
            <w:pPr>
              <w:pStyle w:val="TableContents"/>
              <w:bidi w:val="0"/>
              <w:spacing w:before="0" w:after="283"/>
              <w:jc w:val="left"/>
              <w:rPr/>
            </w:pPr>
            <w:r>
              <w:rPr/>
              <w:t>Gross profit</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2,203,145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30,406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2,185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2,235,736</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Gross margin</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86.8</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1.2</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0.1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88.1</w:t>
            </w:r>
          </w:p>
        </w:tc>
        <w:tc>
          <w:tcPr>
            <w:tcW w:w="346" w:type="dxa"/>
            <w:tcBorders/>
            <w:vAlign w:val="center"/>
          </w:tcPr>
          <w:p>
            <w:pPr>
              <w:pStyle w:val="TableContents"/>
              <w:bidi w:val="0"/>
              <w:spacing w:before="0" w:after="283"/>
              <w:jc w:val="left"/>
              <w:rPr/>
            </w:pPr>
            <w:r>
              <w:rPr/>
              <w:t>%</w:t>
            </w:r>
          </w:p>
        </w:tc>
      </w:tr>
      <w:tr>
        <w:trPr/>
        <w:tc>
          <w:tcPr>
            <w:tcW w:w="1441" w:type="dxa"/>
            <w:tcBorders/>
            <w:vAlign w:val="center"/>
          </w:tcPr>
          <w:p>
            <w:pPr>
              <w:pStyle w:val="TableContents"/>
              <w:bidi w:val="0"/>
              <w:spacing w:before="0" w:after="283"/>
              <w:jc w:val="left"/>
              <w:rPr/>
            </w:pPr>
            <w:r>
              <w:rPr/>
              <w:t>Operating expenses:</w:t>
            </w:r>
          </w:p>
        </w:tc>
        <w:tc>
          <w:tcPr>
            <w:tcW w:w="1292"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Sales and marketing</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1,056,465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(80,930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(353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975,182</w:t>
            </w:r>
          </w:p>
        </w:tc>
        <w:tc>
          <w:tcPr>
            <w:tcW w:w="346" w:type="dxa"/>
            <w:tcBorders/>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Research and development</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736,823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(175,361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561,462</w:t>
            </w:r>
          </w:p>
        </w:tc>
        <w:tc>
          <w:tcPr>
            <w:tcW w:w="346" w:type="dxa"/>
            <w:tcBorders/>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237,316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(64,893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(9,451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162,972</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Total operating expenses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2,030,604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(321,184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(353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2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(9,451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7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1,699,616</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Income from operations</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172,541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351,590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2,538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9,451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536,120</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Operating margin</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6.8</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13.8</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0.1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0.4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21.1</w:t>
            </w:r>
          </w:p>
        </w:tc>
        <w:tc>
          <w:tcPr>
            <w:tcW w:w="346" w:type="dxa"/>
            <w:tcBorders/>
            <w:vAlign w:val="center"/>
          </w:tcPr>
          <w:p>
            <w:pPr>
              <w:pStyle w:val="TableContents"/>
              <w:bidi w:val="0"/>
              <w:spacing w:before="0" w:after="283"/>
              <w:jc w:val="left"/>
              <w:rPr/>
            </w:pPr>
            <w:r>
              <w:rPr/>
              <w:t>%</w:t>
            </w:r>
          </w:p>
        </w:tc>
      </w:tr>
      <w:tr>
        <w:trPr/>
        <w:tc>
          <w:tcPr>
            <w:tcW w:w="1441" w:type="dxa"/>
            <w:tcBorders/>
            <w:vAlign w:val="center"/>
          </w:tcPr>
          <w:p>
            <w:pPr>
              <w:pStyle w:val="TableContents"/>
              <w:bidi w:val="0"/>
              <w:spacing w:before="0" w:after="283"/>
              <w:jc w:val="left"/>
              <w:rPr/>
            </w:pPr>
            <w:r>
              <w:rPr/>
              <w:t>Net income</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188,366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351,590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2,538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9,451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(310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11,347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8,377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(95,646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475,713</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Weighted shares outstanding, basic</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267,479</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267,479</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Weighted shares outstanding, diluted</w:t>
            </w:r>
            <w:r>
              <w:rPr>
                <w:position w:val="8"/>
                <w:sz w:val="19"/>
              </w:rPr>
              <w:t>(8)</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294,083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294,083</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Net income per share, basic</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0.70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1.32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0.01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0.04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0.04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646" w:type="dxa"/>
            <w:tcBorders/>
            <w:vAlign w:val="center"/>
          </w:tcPr>
          <w:p>
            <w:pPr>
              <w:pStyle w:val="TableContents"/>
              <w:bidi w:val="0"/>
              <w:spacing w:before="0" w:after="283"/>
              <w:jc w:val="right"/>
              <w:rPr/>
            </w:pPr>
            <w:r>
              <w:rPr/>
              <w:t>0.03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(0.36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1.78</w:t>
            </w:r>
          </w:p>
        </w:tc>
        <w:tc>
          <w:tcPr>
            <w:tcW w:w="346"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Net income per share, diluted</w:t>
            </w:r>
            <w:r>
              <w:rPr>
                <w:position w:val="8"/>
                <w:sz w:val="19"/>
              </w:rPr>
              <w:t>(9)</w:t>
            </w:r>
          </w:p>
        </w:tc>
        <w:tc>
          <w:tcPr>
            <w:tcW w:w="226"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0.65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1.62</w:t>
            </w:r>
          </w:p>
        </w:tc>
        <w:tc>
          <w:tcPr>
            <w:tcW w:w="346" w:type="dxa"/>
            <w:tcBorders/>
            <w:vAlign w:val="center"/>
          </w:tcPr>
          <w:p>
            <w:pPr>
              <w:pStyle w:val="TableContents"/>
              <w:bidi w:val="0"/>
              <w:spacing w:before="0" w:after="283"/>
              <w:jc w:val="left"/>
              <w:rPr/>
            </w:pPr>
            <w:r>
              <w:rPr/>
              <w:t> </w:t>
            </w:r>
          </w:p>
        </w:tc>
      </w:tr>
    </w:tbl>
    <w:p>
      <w:pPr>
        <w:pStyle w:val="TextBody"/>
        <w:bidi w:val="0"/>
        <w:spacing w:before="0" w:after="283"/>
        <w:jc w:val="left"/>
        <w:rPr/>
      </w:pPr>
      <w:r>
        <w:rPr/>
        <w:t>__________________________</w:t>
        <w:br/>
        <w:t>(1) Stock-based compensation expense</w:t>
        <w:br/>
        <w:t>(2) Amortization of intangible assets</w:t>
        <w:br/>
        <w:t>(3) Legal fees</w:t>
        <w:br/>
        <w:t>(4) Other</w:t>
        <w:br/>
        <w:t>(5) Inducement expense related to partial repurchase of the 2027 Notes</w:t>
        <w:br/>
        <w:t>(6) Amortization of debt issuance costs and interest expense related to debt</w:t>
        <w:br/>
        <w:t>(7) Income tax effect of non-GAAP adjustments. We use a long-term projected non-GAAP tax rate of 20% for the purposes of determining our non-GAAP net income and non-GAAP income per share, which is based on our current long-term projections. We believe the use of a long-term projected tax rate of 20% aligns with the non-GAAP measure of profitability, reduces volatility of the non-GAAP tax rate and provides consistency across reporting periods. Our estimated long-term projected tax rate is subject to change for a variety of reasons, including tax law changes in major jurisdictions in which we operate, changes in our geographic earnings mix, or other changes to our strategy or business operations. We will re-evaluate our long-term projected tax rate as appropriate.</w:t>
        <w:br/>
        <w:t>(8) Includes 26,604 potentially dilutive shares related to convertible senior notes and the issuance of shares under employee equity incentive plans</w:t>
        <w:br/>
        <w:t>(9) In accordance with ASC 260, in order to calculate GAAP net income per share, diluted, the numerator has been adjusted to add back $3,172 of interest expense related to the convertible senior notes</w:t>
      </w:r>
    </w:p>
    <w:p>
      <w:pPr>
        <w:pStyle w:val="TextBody"/>
        <w:bidi w:val="0"/>
        <w:spacing w:before="0" w:after="283"/>
        <w:jc w:val="left"/>
        <w:rPr/>
      </w:pPr>
      <w:r>
        <w:rPr/>
      </w:r>
    </w:p>
    <w:p>
      <w:pPr>
        <w:pStyle w:val="TextBody"/>
        <w:bidi w:val="0"/>
        <w:spacing w:before="0" w:after="283"/>
        <w:jc w:val="left"/>
        <w:rPr/>
      </w:pPr>
      <w:r>
        <w:rPr/>
      </w:r>
    </w:p>
    <w:tbl>
      <w:tblPr>
        <w:tblW w:w="10193" w:type="dxa"/>
        <w:jc w:val="center"/>
        <w:tblInd w:w="0" w:type="dxa"/>
        <w:tblLayout w:type="fixed"/>
        <w:tblCellMar>
          <w:top w:w="28" w:type="dxa"/>
          <w:left w:w="28" w:type="dxa"/>
          <w:bottom w:w="28" w:type="dxa"/>
          <w:right w:w="28" w:type="dxa"/>
        </w:tblCellMar>
      </w:tblPr>
      <w:tblGrid>
        <w:gridCol w:w="4211"/>
        <w:gridCol w:w="239"/>
        <w:gridCol w:w="938"/>
        <w:gridCol w:w="191"/>
        <w:gridCol w:w="154"/>
        <w:gridCol w:w="239"/>
        <w:gridCol w:w="938"/>
        <w:gridCol w:w="191"/>
        <w:gridCol w:w="154"/>
        <w:gridCol w:w="239"/>
        <w:gridCol w:w="938"/>
        <w:gridCol w:w="191"/>
        <w:gridCol w:w="154"/>
        <w:gridCol w:w="239"/>
        <w:gridCol w:w="938"/>
        <w:gridCol w:w="239"/>
      </w:tblGrid>
      <w:tr>
        <w:trPr/>
        <w:tc>
          <w:tcPr>
            <w:tcW w:w="10193" w:type="dxa"/>
            <w:gridSpan w:val="16"/>
            <w:tcBorders/>
            <w:vAlign w:val="center"/>
          </w:tcPr>
          <w:p>
            <w:pPr>
              <w:pStyle w:val="TableContents"/>
              <w:bidi w:val="0"/>
              <w:spacing w:before="0" w:after="283"/>
              <w:jc w:val="center"/>
              <w:rPr/>
            </w:pPr>
            <w:r>
              <w:rPr>
                <w:rStyle w:val="StrongEmphasis"/>
              </w:rPr>
              <w:t>Reconciliation of GAAP Net Cash Provided by Operating Activities to Non-GAAP Free Cash Flow</w:t>
            </w:r>
            <w:r>
              <w:rPr/>
              <w:br/>
            </w:r>
            <w:r>
              <w:rPr>
                <w:rStyle w:val="StrongEmphasis"/>
              </w:rPr>
              <w:t>(Unaudited)</w:t>
            </w:r>
          </w:p>
        </w:tc>
      </w:tr>
      <w:tr>
        <w:trPr/>
        <w:tc>
          <w:tcPr>
            <w:tcW w:w="4211" w:type="dxa"/>
            <w:tcBorders/>
            <w:vAlign w:val="center"/>
          </w:tcPr>
          <w:p>
            <w:pPr>
              <w:pStyle w:val="TableContents"/>
              <w:bidi w:val="0"/>
              <w:spacing w:before="0" w:after="283"/>
              <w:jc w:val="left"/>
              <w:rPr/>
            </w:pPr>
            <w:r>
              <w:rPr/>
              <w:t> </w:t>
            </w:r>
          </w:p>
        </w:tc>
        <w:tc>
          <w:tcPr>
            <w:tcW w:w="2699" w:type="dxa"/>
            <w:gridSpan w:val="6"/>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699" w:type="dxa"/>
            <w:gridSpan w:val="6"/>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r>
      <w:tr>
        <w:trPr/>
        <w:tc>
          <w:tcPr>
            <w:tcW w:w="4211" w:type="dxa"/>
            <w:tcBorders/>
            <w:vAlign w:val="center"/>
          </w:tcPr>
          <w:p>
            <w:pPr>
              <w:pStyle w:val="TableContents"/>
              <w:bidi w:val="0"/>
              <w:spacing w:before="0" w:after="283"/>
              <w:jc w:val="center"/>
              <w:rPr/>
            </w:pPr>
            <w:r>
              <w:rPr/>
              <w:t> </w:t>
            </w:r>
          </w:p>
        </w:tc>
        <w:tc>
          <w:tcPr>
            <w:tcW w:w="2699"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br/>
            </w:r>
            <w:r>
              <w:rPr>
                <w:rStyle w:val="StrongEmphasis"/>
              </w:rPr>
              <w:t>July 31,</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54" w:type="dxa"/>
            <w:tcBorders/>
            <w:vAlign w:val="center"/>
          </w:tcPr>
          <w:p>
            <w:pPr>
              <w:pStyle w:val="TableContents"/>
              <w:bidi w:val="0"/>
              <w:spacing w:before="0" w:after="283"/>
              <w:jc w:val="left"/>
              <w:rPr/>
            </w:pPr>
            <w:r>
              <w:rPr/>
              <w:t> </w:t>
            </w:r>
          </w:p>
        </w:tc>
        <w:tc>
          <w:tcPr>
            <w:tcW w:w="2699"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Fiscal Year Ended</w:t>
            </w:r>
            <w:r>
              <w:rPr/>
              <w:br/>
            </w:r>
            <w:r>
              <w:rPr>
                <w:rStyle w:val="StrongEmphasis"/>
              </w:rPr>
              <w:t>July 31,</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211" w:type="dxa"/>
            <w:tcBorders/>
            <w:vAlign w:val="center"/>
          </w:tcPr>
          <w:p>
            <w:pPr>
              <w:pStyle w:val="TableContents"/>
              <w:bidi w:val="0"/>
              <w:spacing w:before="0" w:after="283"/>
              <w:jc w:val="center"/>
              <w:rPr/>
            </w:pPr>
            <w:r>
              <w:rPr/>
              <w:t> </w:t>
            </w:r>
          </w:p>
        </w:tc>
        <w:tc>
          <w:tcPr>
            <w:tcW w:w="117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7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54" w:type="dxa"/>
            <w:tcBorders/>
            <w:vAlign w:val="center"/>
          </w:tcPr>
          <w:p>
            <w:pPr>
              <w:pStyle w:val="TableContents"/>
              <w:bidi w:val="0"/>
              <w:spacing w:before="0" w:after="283"/>
              <w:jc w:val="left"/>
              <w:rPr/>
            </w:pPr>
            <w:r>
              <w:rPr/>
              <w:t> </w:t>
            </w:r>
          </w:p>
        </w:tc>
        <w:tc>
          <w:tcPr>
            <w:tcW w:w="117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9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7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2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r>
      <w:tr>
        <w:trPr/>
        <w:tc>
          <w:tcPr>
            <w:tcW w:w="4211" w:type="dxa"/>
            <w:tcBorders/>
            <w:vAlign w:val="center"/>
          </w:tcPr>
          <w:p>
            <w:pPr>
              <w:pStyle w:val="TableContents"/>
              <w:bidi w:val="0"/>
              <w:spacing w:before="0" w:after="283"/>
              <w:jc w:val="center"/>
              <w:rPr/>
            </w:pPr>
            <w:r>
              <w:rPr/>
              <w:t> </w:t>
            </w:r>
          </w:p>
        </w:tc>
        <w:tc>
          <w:tcPr>
            <w:tcW w:w="5743" w:type="dxa"/>
            <w:gridSpan w:val="14"/>
            <w:tcBorders/>
            <w:vAlign w:val="center"/>
          </w:tcPr>
          <w:p>
            <w:pPr>
              <w:pStyle w:val="TableContents"/>
              <w:bidi w:val="0"/>
              <w:spacing w:before="0" w:after="283"/>
              <w:jc w:val="center"/>
              <w:rPr/>
            </w:pPr>
            <w:r>
              <w:rPr>
                <w:rStyle w:val="StrongEmphasis"/>
              </w:rPr>
              <w:t>(in thousands)</w:t>
            </w:r>
          </w:p>
        </w:tc>
        <w:tc>
          <w:tcPr>
            <w:tcW w:w="239" w:type="dxa"/>
            <w:tcBorders/>
            <w:vAlign w:val="center"/>
          </w:tcPr>
          <w:p>
            <w:pPr>
              <w:pStyle w:val="TableContents"/>
              <w:bidi w:val="0"/>
              <w:spacing w:before="0" w:after="283"/>
              <w:jc w:val="center"/>
              <w:rPr/>
            </w:pPr>
            <w:r>
              <w:rPr/>
              <w:t> </w:t>
            </w:r>
          </w:p>
        </w:tc>
      </w:tr>
      <w:tr>
        <w:trPr/>
        <w:tc>
          <w:tcPr>
            <w:tcW w:w="4211" w:type="dxa"/>
            <w:tcBorders/>
            <w:vAlign w:val="center"/>
          </w:tcPr>
          <w:p>
            <w:pPr>
              <w:pStyle w:val="TableContents"/>
              <w:bidi w:val="0"/>
              <w:spacing w:before="0" w:after="283"/>
              <w:jc w:val="left"/>
              <w:rPr/>
            </w:pPr>
            <w:r>
              <w:rPr/>
              <w:t>Net cash provided by operating activities</w:t>
            </w:r>
          </w:p>
        </w:tc>
        <w:tc>
          <w:tcPr>
            <w:tcW w:w="239"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219,529</w:t>
            </w:r>
          </w:p>
        </w:tc>
        <w:tc>
          <w:tcPr>
            <w:tcW w:w="191"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315,013</w:t>
            </w:r>
          </w:p>
        </w:tc>
        <w:tc>
          <w:tcPr>
            <w:tcW w:w="191"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821,456</w:t>
            </w:r>
          </w:p>
        </w:tc>
        <w:tc>
          <w:tcPr>
            <w:tcW w:w="191"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916,688</w:t>
            </w:r>
          </w:p>
        </w:tc>
        <w:tc>
          <w:tcPr>
            <w:tcW w:w="239" w:type="dxa"/>
            <w:tcBorders/>
            <w:vAlign w:val="center"/>
          </w:tcPr>
          <w:p>
            <w:pPr>
              <w:pStyle w:val="TableContents"/>
              <w:bidi w:val="0"/>
              <w:spacing w:before="0" w:after="283"/>
              <w:jc w:val="left"/>
              <w:rPr/>
            </w:pPr>
            <w:r>
              <w:rPr/>
              <w:t> </w:t>
            </w:r>
          </w:p>
        </w:tc>
      </w:tr>
      <w:tr>
        <w:trPr/>
        <w:tc>
          <w:tcPr>
            <w:tcW w:w="4211" w:type="dxa"/>
            <w:tcBorders/>
            <w:tcMar>
              <w:top w:w="0" w:type="dxa"/>
              <w:left w:w="0" w:type="dxa"/>
              <w:bottom w:w="0" w:type="dxa"/>
              <w:right w:w="0" w:type="dxa"/>
            </w:tcMar>
            <w:vAlign w:val="center"/>
          </w:tcPr>
          <w:p>
            <w:pPr>
              <w:pStyle w:val="TableContents"/>
              <w:bidi w:val="0"/>
              <w:spacing w:before="0" w:after="283"/>
              <w:jc w:val="left"/>
              <w:rPr/>
            </w:pPr>
            <w:r>
              <w:rPr/>
              <w:t>Purchases of property and equipment</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(11,750</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(37,443</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(71,283</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 </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(76,013</w:t>
            </w:r>
          </w:p>
        </w:tc>
        <w:tc>
          <w:tcPr>
            <w:tcW w:w="23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211" w:type="dxa"/>
            <w:tcBorders/>
            <w:vAlign w:val="center"/>
          </w:tcPr>
          <w:p>
            <w:pPr>
              <w:pStyle w:val="TableContents"/>
              <w:bidi w:val="0"/>
              <w:spacing w:before="0" w:after="283"/>
              <w:jc w:val="left"/>
              <w:rPr/>
            </w:pPr>
            <w:r>
              <w:rPr/>
              <w:t>Free cash flow</w:t>
            </w:r>
          </w:p>
        </w:tc>
        <w:tc>
          <w:tcPr>
            <w:tcW w:w="2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207,779</w:t>
            </w:r>
          </w:p>
        </w:tc>
        <w:tc>
          <w:tcPr>
            <w:tcW w:w="1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277,570</w:t>
            </w:r>
          </w:p>
        </w:tc>
        <w:tc>
          <w:tcPr>
            <w:tcW w:w="1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750,173</w:t>
            </w:r>
          </w:p>
        </w:tc>
        <w:tc>
          <w:tcPr>
            <w:tcW w:w="1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840,675</w:t>
            </w:r>
          </w:p>
        </w:tc>
        <w:tc>
          <w:tcPr>
            <w:tcW w:w="2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5991</Words>
  <Characters>33742</Characters>
  <CharactersWithSpaces>40667</CharactersWithSpaces>
  <Paragraphs>3869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